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KI-MIG — Innovationsfördernde Maßnahmen</w:t>
      </w:r>
    </w:p>
    <w:p>
      <w:r>
        <w:rPr>
          <w:color w:val="555555"/>
          <w:sz w:val="18"/>
        </w:rPr>
        <w:t xml:space="preserve">KI-Marktüberwachungs-und-Innovationsförderungs-Gesetz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Bundesnetzagentur führt innovationsfördernde Maßnahmen gemäß der Verordnung (EU) 2024/1689 durch. Sie hat insbesondere folgende Aufgaben:</w:t>
      </w:r>
    </w:p>
    <w:p>
      <w:pPr>
        <w:ind w:left="420"/>
      </w:pPr>
      <w:r>
        <w:t xml:space="preserve">1. allgemeine Informationen und Anleitungen zur Anwendung der Verordnung (EU) 2024/1689 für die durch die Verordnung adressierten Akteure sowie zukünftigen Akteure im Sinne des Artikels 3 Nummer 8 der Verordnung (EU) 2024/1689, insbesondere für kleine und mittlere Unternehmen, Start-up-Unternehmen und öffentliche Stellen im Sinne des § 2 Absatz 1 und 2 des Bundesdatenschutzgesetzes, bereitzustellen,</w:t>
      </w:r>
    </w:p>
    <w:p>
      <w:pPr>
        <w:ind w:left="420"/>
      </w:pPr>
      <w:r>
        <w:t xml:space="preserve">2. auf Anfrage einer öffentlichen Stelle im Sinne des § 2 Absatz 1 und 2 des Bundesdatenschutzgesetzes zum rechtlichen Status eines maschinengestützten Systems als KI-System gemäß des Artikels 3 Absatz 1 der Verordnung (EU) 2024/1689 oder dessen Einstufung als Hochrisiko-KI-System gemäß Artikel 6 Absatz 2 und 3 der Verordnung (EU) 2024/1689 mit Blick auf den konkreten Einzelfall zu beraten,</w:t>
      </w:r>
    </w:p>
    <w:p>
      <w:pPr>
        <w:ind w:left="420"/>
      </w:pPr>
      <w:r>
        <w:t xml:space="preserve">3. zur Innovationsförderung gemäß Artikel 62 Absatz 1 Buchstabe b der Verordnung (EU) 2024/1689 Sensibilisierungs- und Schulungsmaßnahmen betreffend die Verordnung (EU) 2024/1689 durchzuführen,</w:t>
      </w:r>
    </w:p>
    <w:p>
      <w:pPr>
        <w:ind w:left="420"/>
      </w:pPr>
      <w:r>
        <w:t xml:space="preserve">4. den Wissensaufbau und -austausch zu künstlicher Intelligenz zu fördern, insbesondere durch Durchführung von Studien, Analysen und Fachveranstaltungen, soweit dies für die Durchführung ihrer Aufgaben nach diesem Gesetz erforderlich ist,</w:t>
      </w:r>
    </w:p>
    <w:p>
      <w:pPr>
        <w:ind w:left="420"/>
      </w:pPr>
      <w:r>
        <w:t xml:space="preserve">5. die Vernetzung und Kooperation der relevanten Akteure des KI-Ökosystems um KI-Systeme im Rahmen ihrer Aufgaben nach diesem Gesetz zu fördern und</w:t>
      </w:r>
    </w:p>
    <w:p>
      <w:pPr>
        <w:ind w:left="420"/>
      </w:pPr>
      <w:r>
        <w:t xml:space="preserve">6. ihren Sachverstand auch für die Erfüllung der weiteren Aufgaben aus der Verordnung (EU) 2024/1689 zur Innovationsförderung bereitzustellen, insbesondere durch die Mitarbeit im Bereich der technischen Normung von künstlicher Intelligenz in nationalen und internationalen Normungsgremien.</w:t>
      </w:r>
    </w:p>
    <w:p>
      <w:r>
        <w:t xml:space="preserve">Die Erfüllung von Beratungsaufgaben durch die Bundesnetzagentur nach Satz 2 Nummer 2 setzt eine zwischen der Bundesnetzagentur und dem zuständigen Bundes- oder Landesministerium zu schließende Verwaltungsvereinbarung voraus. Darin ist insbesondere die Übernahme der finanziellen und stellenmäßigen Aufwände durch das jeweilig zuständige Bundes- oder Landesministerium zu regeln. Die Bundesnetzagentur veröffentlicht die wesentlichen Erwägungen ihres Beratungsergebnisses gemäß Satz 2 Nummer 2.</w:t>
      </w:r>
    </w:p>
    <w:p>
      <w:r>
        <w:rPr>
          <w:color w:val="555555"/>
          <w:sz w:val="17"/>
        </w:rPr>
        <w:t xml:space="preserve">Zitiervorschlag: § 12 KI-MIG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https://recht.nulegal.eu/gesetze/KI-MIG/12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