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KI-MIG — Befugnisse der zuständigen Behörden; Einschränkung eines Grundrechts</w:t>
      </w:r>
    </w:p>
    <w:p>
      <w:r>
        <w:rPr>
          <w:color w:val="555555"/>
          <w:sz w:val="18"/>
        </w:rPr>
        <w:t xml:space="preserve">KI-Marktüberwachungs-und-Innovationsförderungs-Gesetz</w:t>
      </w:r>
    </w:p>
    <w:p>
      <w:r>
        <w:rPr>
          <w:color w:val="555555"/>
          <w:sz w:val="18"/>
        </w:rPr>
        <w:t xml:space="preserve">Stand: 30.07.2026 (konsolidierte Textfassung, kein amtliches Inkrafttretensdatum)</w:t>
      </w:r>
    </w:p>
    <w:p>
      <w:r>
        <w:t xml:space="preserve">(1) Die Marktüberwachungsbehörden nach § 2 Absatz 1 bis 8 haben die Befugnisse gemäß Artikel 14 Absatz 4 und 5 und Artikel 16 der Verordnung (EU) 2019/1020 sowie nach der Verordnung (EU) 2024/1689. Die Befugnisse der Marktüberwachungsbehörden aufgrund anderer Vorschriften bleiben unberührt.</w:t>
      </w:r>
    </w:p>
    <w:p>
      <w:r>
        <w:t xml:space="preserve">(2) Die Marktüberwachungsbehörden können bei Wahrnehmung ihrer Befugnisse nach Artikel 14 Absatz 4 und 5 der Verordnung (EU) 2019/1020 dritte Personen als Verwaltungshelfer heranziehen, die sie bei der Ausführung insbesondere von technischen Prozessen unterstützen. Zusätzlich können die Marktüberwachungsbehörden die in Artikel 14 Absatz 4 Buchstabe d und j der Verordnung (EU) 2019/1020 genannten Befugnisse über Anwendungsprogrammierschnittstellen oder andere technische Mittel, die den Fernzugriff ermöglichen, ausüben.</w:t>
      </w:r>
    </w:p>
    <w:p>
      <w:r>
        <w:t xml:space="preserve">(3) Die Befugnisse nach Artikel 14 Absatz 4 Buchstabe e der Verordnung (EU) 2019/1020 bestehen zu den üblichen Betriebs- und Geschäftszeiten, außerhalb dieser Zeiten nur zur Verhütung dringender Gefahren für die öffentliche Sicherheit und Ordnung. Das Grundrecht der Unverletzlichkeit der Wohnung (Artikel 13 des Grundgesetzes) wird insoweit eingeschränkt.</w:t>
      </w:r>
    </w:p>
    <w:p>
      <w:r>
        <w:t xml:space="preserve">(4) Im Übrigen gilt § 7 Absatz 2 bis 4 des Marktüberwachungsgesetzes entsprechend.</w:t>
      </w:r>
    </w:p>
    <w:p>
      <w:r>
        <w:t xml:space="preserve">(5) Die Befugnisse nach den Absätzen 1 bis 4 berechtigen die zuständigen Marktüberwachungsbehörden und von ihnen beauftragte Personen nicht dazu, Daten bei öffentlichen Stellen im Sinne des § 2 Absatz 1 und 2 des Bundesdatenschutzgesetzes zu erheben oder weiterzuverarbeiten, soweit Gründe des Quellenschutzes oder der Sicherstellung der Geheimhaltung von Verschlusssachen im Sinne des § 4 Absatz 1 des Sicherheitsüberprüfungsgesetzes dem entgegenstehen. Die Verarbeitung der genannten Daten durch die Marktüberwachungsbehörde ist jedoch im Einzelfall zulässig, wenn dies zur Erfüllung der Aufgaben der Marktüberwachungsbehörde nach diesem Gesetz erforderlich ist. Die Marktüberwachungsbehörde hat in einem solchen Fall die jeweils geltenden, besonderen Vertraulichkeitsvorkehrungen zu ergreifen.</w:t>
      </w:r>
    </w:p>
    <w:p>
      <w:r>
        <w:t xml:space="preserve">(6) Die Finanzbehörden haben nach § 30 der Abgabenordnung geschützte Daten den Marktüberwachungsbehörden auf Ersuchen unverzüglich zu offenbaren, wenn die Marktüberwachungsbehörde gegenüber der Finanzbehörde begründet darlegt, dass die Herausgabe der Daten zur Erfüllung der Aufgaben der Marktüberwachungsbehörde nach Maßgabe der Verordnungen (EU) 2024/1689 sowie (EU) 2019/1020 erforderlich ist.</w:t>
      </w:r>
    </w:p>
    <w:p>
      <w:r>
        <w:t xml:space="preserve">(7) Widerspruch und Klage gegen Entscheidungen gemäß den Absätzen 1 bis 4, die die Marktüberwachungsbehörden nach § 2 Absatz 2 dieses Gesetzes treffen, haben keine aufschiebende Wirkung, soweit die Entscheidungen ein KI-System betreffen, das ein Produkt oder ein Sicherheitsbauteil eines Produktes ist, auf das § 36 Absatz 1 des Funkanlagengesetzes oder § 45 Absatz 5 des Medizinprodukte-Durchführungsgesetzes anwendbar ist. Widerspruch und Klage gegen Entscheidungen gemäß den Absätzen 1 bis 4, einschließlich der Androhung und Festsetzung von Zwangsmitteln, die die Marktüberwachungsbehörde nach § 2 Absatz 3 dieses Gesetzes trifft, haben keine aufschiebende Wirkung.</w:t>
      </w:r>
    </w:p>
    <w:p>
      <w:r>
        <w:rPr>
          <w:color w:val="555555"/>
          <w:sz w:val="17"/>
        </w:rPr>
        <w:t xml:space="preserve">Zitiervorschlag: § 11 KI-MIG</w:t>
      </w:r>
    </w:p>
    <w:p>
      <w:r>
        <w:rPr>
          <w:color w:val="555555"/>
          <w:sz w:val="17"/>
        </w:rPr>
        <w:t xml:space="preserve">Quelle: Bundesamt für Justiz, abgerufen 30.07.2026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https://recht.nulegal.eu/gesetze/KI-MIG/11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