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KI-MIG — Anwendungsbereich</w:t>
      </w:r>
    </w:p>
    <w:p>
      <w:r>
        <w:rPr>
          <w:color w:val="555555"/>
          <w:sz w:val="18"/>
        </w:rPr>
        <w:t xml:space="preserve">KI-Marktüberwachungs-und-Innovationsförderungs-Gesetz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Dieses Gesetz dient der Durchführung der Verordnung (EU) 2024/1689. Es gilt für KI-Systeme im Sinne des Artikels 3 Nummer 1 der Verordnung (EU) 2024/1689 und regelt ergänzend zu den in der Verordnung enthaltenen Bestimmungen die zuständigen Behörden gemäß Artikel 70 Absatz 1 Satz 1 der Verordnung (EU) 2024/1689, Maßnahmen zur Innovationsförderung sowie Bußgelder bei Verstößen gegen die Vorschriften der Verordnung gemäß Artikel 99 Absatz 1 Satz 1 der Verordnung (EU) 2024/1689.</w:t>
      </w:r>
    </w:p>
    <w:p>
      <w:r>
        <w:rPr>
          <w:color w:val="555555"/>
          <w:sz w:val="17"/>
        </w:rPr>
        <w:t xml:space="preserve">Zitiervorschlag: § 1 KI-MIG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https://recht.nulegal.eu/gesetze/KI-MIG/1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