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KHfEVerbG — Gebühren und Auslagen</w:t>
      </w:r>
    </w:p>
    <w:p>
      <w:r>
        <w:rPr>
          <w:color w:val="555555"/>
          <w:sz w:val="18"/>
        </w:rPr>
        <w:t xml:space="preserve">Tiererzeugnisse-Handels-Verbotsgesetz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Durch die Besondere Gebührenverordnung des Bundesministeriums für Ernährung und Landwirtschaft nach § 22 Absatz 4 des Bundesgebührengesetzes kann für den Bereich der Bundesverwaltung der Zeitpunkt des Entstehens und der Erhebung der Gebühr abweichend von den Vorschriften des Bundesgebührengesetzes geregelt werden.</w:t>
      </w:r>
    </w:p>
    <w:p>
      <w:r>
        <w:rPr>
          <w:color w:val="555555"/>
          <w:sz w:val="17"/>
        </w:rPr>
        <w:t xml:space="preserve">Zitiervorschlag: § 9 KHfEVerbG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https://recht.nulegal.eu/gesetze/KHfEVerbG/9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