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KHfEVerbG — Bußgeldvorschriften</w:t>
      </w:r>
    </w:p>
    <w:p>
      <w:r>
        <w:rPr>
          <w:color w:val="555555"/>
          <w:sz w:val="18"/>
        </w:rPr>
        <w:t xml:space="preserve">Tiererzeugnisse-Handels-Verbotsgesetz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einer vollziehbaren Anordnung nach § 2 Abs. 1 Satz 2 Nr. 2 zuwiderhandelt,</w:t>
      </w:r>
    </w:p>
    <w:p>
      <w:pPr>
        <w:ind w:left="420"/>
      </w:pPr>
      <w:r>
        <w:t xml:space="preserve">1a. eine Tätigkeit ohne die nach § 3 Absatz 1 Satz 1 erforderliche Erlaubnis ausübt oder einer mit einer solchen Erlaubnis verbundenen vollziehbaren Auflage zuwiderhandelt,</w:t>
      </w:r>
    </w:p>
    <w:p>
      <w:pPr>
        <w:ind w:left="420"/>
      </w:pPr>
      <w:r>
        <w:t xml:space="preserve">1b. entgegen § 4 Satz 1 ein Säugetier abgibt,</w:t>
      </w:r>
    </w:p>
    <w:p>
      <w:pPr>
        <w:ind w:left="420"/>
      </w:pPr>
      <w:r>
        <w:t xml:space="preserve">2. entgegen § 5 Abs. 1 eine Auskunft nicht, nicht richtig, nicht vollständig oder nicht rechtzeitig erteilt,</w:t>
      </w:r>
    </w:p>
    <w:p>
      <w:pPr>
        <w:ind w:left="420"/>
      </w:pPr>
      <w:r>
        <w:t xml:space="preserve">3. entgegen § 5 Abs. 3 Satz 1, auch in Verbindung mit einer Rechtsverordnung nach § 8 Abs. 1 Satz 2, eine Maßnahme nicht duldet oder eine dort genannte Person nicht unterstützt oder</w:t>
      </w:r>
    </w:p>
    <w:p>
      <w:pPr>
        <w:ind w:left="420"/>
      </w:pPr>
      <w:r>
        <w:t xml:space="preserve">4. einer Rechtsverordnung nach § 8 Abs. 1 Satz 1 oder Abs. 3 oder einer vollziehbaren Anordnung auf Grund einer solchen Rechtsverordnung zuwiderhandelt, soweit die Rechtsverordnung für einen bestimmten Tatbestand auf diese Bußgeldvorschrift verweist.</w:t>
      </w:r>
    </w:p>
    <w:p>
      <w:r>
        <w:t xml:space="preserve">(2) Ordnungswidrig handelt, wer vorsätzlich oder fahrlässig</w:t>
      </w:r>
    </w:p>
    <w:p>
      <w:pPr>
        <w:ind w:left="420"/>
      </w:pPr>
      <w:r>
        <w:t xml:space="preserve">1. entgegen Artikel 3 der Verordnung (EG) Nr. 1523/2007 des Europäischen Parlaments und des Rates vom 11. Dezember 2007 über ein Verbot des Inverkehrbringens sowie der Ein- und Ausfuhr von Katzen- und Hundefellen sowie von Produkten, die solche Felle enthalten, in die bzw. aus der Gemeinschaft (ABl. L 343 vom 27.12.2007, S. 1) Katzen- oder Hundefelle oder Produkte, die solche Felle enthalten, einführt oder in Verkehr bringt oder</w:t>
      </w:r>
    </w:p>
    <w:p>
      <w:pPr>
        <w:ind w:left="420"/>
      </w:pPr>
      <w:r>
        <w:t xml:space="preserve">2. entgegen Artikel 3 Absatz 1 Satz 1 der Verordnung (EG) Nr. 1007/2009 des Europäischen Parlaments und des Rates vom 16. September 2009 über den Handel mit Robbenerzeugnissen (ABl. L 286 vom 31.10.2009, S. 36) Robbenerzeugnisse in Verkehr bringt.</w:t>
      </w:r>
    </w:p>
    <w:p>
      <w:r>
        <w:t xml:space="preserve">(3) Die Ordnungswidrigkeit kann in den Fällen des Absatzes 1 Nummer 1 und 1a und des Absatzes 2 mit einer Geldbuße bis zu dreißigtausend Euro, in den übrigen Fällen mit einer Geldbuße bis zu fünftausend Euro geahndet werden.</w:t>
      </w:r>
    </w:p>
    <w:p>
      <w:r>
        <w:t xml:space="preserve">(4) Gegenstände, auf die sich eine Ordnungswidrigkeit nach Absatz 1 oder Absatz 2 bezieht, können eingezogen werden.</w:t>
      </w:r>
    </w:p>
    <w:p>
      <w:r>
        <w:t xml:space="preserve">(5) Verwaltungsbehörde im Sinne des § 36 Abs. 1 Nr. 1 des Gesetzes über Ordnungswidrigkeiten ist die Bundesanstalt, soweit das Gesetz durch diese ausgeführt wird.</w:t>
      </w:r>
    </w:p>
    <w:p>
      <w:r>
        <w:rPr>
          <w:color w:val="555555"/>
          <w:sz w:val="17"/>
        </w:rPr>
        <w:t xml:space="preserve">Zitiervorschlag: § 7 KHfEVerbG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https://recht.nulegal.eu/gesetze/KHfEVerbG/7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