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KHfEVerbG — Mitwirkung der Zollbehörden</w:t>
      </w:r>
    </w:p>
    <w:p>
      <w:r>
        <w:rPr>
          <w:color w:val="555555"/>
          <w:sz w:val="18"/>
        </w:rPr>
        <w:t xml:space="preserve">Tiererzeugnisse-Handels-Verbotsgesetz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Zollbehörden wirken mit bei der Überwachung</w:t>
      </w:r>
    </w:p>
    <w:p>
      <w:pPr>
        <w:ind w:left="420"/>
      </w:pPr>
      <w:r>
        <w:t xml:space="preserve">1. der Einfuhr und Ausfuhr von Katzen- oder Hundefellen sowie von Produkten, die solche Felle enthalten, und</w:t>
      </w:r>
    </w:p>
    <w:p>
      <w:pPr>
        <w:ind w:left="420"/>
      </w:pPr>
      <w:r>
        <w:t xml:space="preserve">2. der Einfuhr von Robbenerzeugnissen.</w:t>
      </w:r>
    </w:p>
    <w:p>
      <w:r>
        <w:t xml:space="preserve">(2) Die in Absatz 1 genannten Behörden können</w:t>
      </w:r>
    </w:p>
    <w:p>
      <w:pPr>
        <w:ind w:left="420"/>
      </w:pPr>
      <w:r>
        <w:t xml:space="preserve">1. Sendungen einschließlich der Beförderungsmittel, Behälter, Lade- und Verpackungsmittel von</w:t>
      </w:r>
    </w:p>
    <w:p>
      <w:pPr>
        <w:ind w:left="780"/>
      </w:pPr>
      <w:r>
        <w:t xml:space="preserve">a) Katzen- oder Hundefellen sowie von Produkten, die solche Felle enthalten, bei der Einfuhr und Ausfuhr und</w:t>
      </w:r>
    </w:p>
    <w:p>
      <w:pPr>
        <w:ind w:left="780"/>
      </w:pPr>
      <w:r>
        <w:t xml:space="preserve">b) Robbenerzeugnissen bei der Einfuhr</w:t>
      </w:r>
    </w:p>
    <w:p>
      <w:pPr>
        <w:ind w:left="420"/>
      </w:pPr>
      <w:r>
        <w:t xml:space="preserve">zur Überwachung anhalten,</w:t>
      </w:r>
    </w:p>
    <w:p>
      <w:pPr>
        <w:ind w:left="420"/>
      </w:pPr>
      <w:r>
        <w:t xml:space="preserve">2. den Verdacht eines Verstoßes gegen Vorschriften</w:t>
      </w:r>
    </w:p>
    <w:p>
      <w:pPr>
        <w:ind w:left="780"/>
      </w:pPr>
      <w:r>
        <w:t xml:space="preserve">a) der in § 1 bezeichneten Rechtsakte,</w:t>
      </w:r>
    </w:p>
    <w:p>
      <w:pPr>
        <w:ind w:left="780"/>
      </w:pPr>
      <w:r>
        <w:t xml:space="preserve">b) dieses Gesetzes oder</w:t>
      </w:r>
    </w:p>
    <w:p>
      <w:pPr>
        <w:ind w:left="780"/>
      </w:pPr>
      <w:r>
        <w:t xml:space="preserve">c) der auf Grund dieses Gesetzes erlassenen Rechtsverordnungen,</w:t>
      </w:r>
    </w:p>
    <w:p>
      <w:pPr>
        <w:ind w:left="420"/>
      </w:pPr>
      <w:r>
        <w:t xml:space="preserve">der sich bei der Wahrnehmung ihrer Aufgaben nach Absatz 1 ergibt, den nach § 1 jeweils zuständigen Behörden mitteilen, und</w:t>
      </w:r>
    </w:p>
    <w:p>
      <w:pPr>
        <w:ind w:left="420"/>
      </w:pPr>
      <w:r>
        <w:t xml:space="preserve">3. in den Fällen eines Verdachts nach Nummer 2 anordnen, dass Sendungen mit in Nummer 1 bezeichneten Produkten oder Erzeugnissen auf Kosten und Gefahr des Verfügungsberechtigten der nach § 1 jeweils zuständigen Behörde vorgelegt werden.</w:t>
      </w:r>
    </w:p>
    <w:p>
      <w:r>
        <w:rPr>
          <w:color w:val="555555"/>
          <w:sz w:val="17"/>
        </w:rPr>
        <w:t xml:space="preserve">Zitiervorschlag: § 6 KHfEVerbG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https://recht.nulegal.eu/gesetze/KHfEVerbG/6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