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KHfEVerbG — Eingriffsbefugnisse</w:t>
      </w:r>
    </w:p>
    <w:p>
      <w:r>
        <w:rPr>
          <w:color w:val="555555"/>
          <w:sz w:val="18"/>
        </w:rPr>
        <w:t xml:space="preserve">Tiererzeugnisse-Handels-Verbotsgesetz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Stellt die nach § 1 jeweils zuständige Behörde einen Verstoß gegen</w:t>
      </w:r>
    </w:p>
    <w:p>
      <w:pPr>
        <w:ind w:left="420"/>
      </w:pPr>
      <w:r>
        <w:t xml:space="preserve">1. Artikel 3 der Verordnung (EG) Nr. 1523/2007, auch in Verbindung mit einem im Rahmen des Artikels 4 der Verordnung (EG) Nr. 1523/2007 erlassenen Rechtsakt, oder</w:t>
      </w:r>
    </w:p>
    <w:p>
      <w:pPr>
        <w:ind w:left="420"/>
      </w:pPr>
      <w:r>
        <w:t xml:space="preserve">2. Artikel 3 Absatz 1 oder 1a der Verordnung (EG) Nr. 1007/2009, auch in Verbindung mit einem im Rahmen des Artikels 3 Absatz 4 oder 5 der Verordnung (EG) Nr. 1007/2009 erlassenen Rechtsakt,</w:t>
      </w:r>
    </w:p>
    <w:p>
      <w:r>
        <w:t xml:space="preserve">fest, so trifft sie die zur Beseitigung des festgestellten Verstoßes oder zur Verhütung künftiger Verstöße erforderlichen Maßnahmen. Die Behörde kann insbesondere</w:t>
      </w:r>
    </w:p>
    <w:p>
      <w:pPr>
        <w:ind w:left="420"/>
      </w:pPr>
      <w:r>
        <w:t xml:space="preserve">1. ein Katzen- oder Hundefell oder ein Produkt, das solche Felle enthält, oder ein Robbenerzeugnis beschlagnahmen,</w:t>
      </w:r>
    </w:p>
    <w:p>
      <w:pPr>
        <w:ind w:left="420"/>
      </w:pPr>
      <w:r>
        <w:t xml:space="preserve">2. anordnen, dass ein Katzen- oder Hundefell oder ein Produkt, das solche Felle enthält, oder ein Robbenerzeugnis</w:t>
      </w:r>
    </w:p>
    <w:p>
      <w:pPr>
        <w:ind w:left="780"/>
      </w:pPr>
      <w:r>
        <w:t xml:space="preserve">a) unverzüglich an den Ort der Herkunft zurückzubringen ist, oder</w:t>
      </w:r>
    </w:p>
    <w:p>
      <w:pPr>
        <w:ind w:left="780"/>
      </w:pPr>
      <w:r>
        <w:t xml:space="preserve">b) zu vernichten ist, soweit ein Zurückbringen nach Buchstabe a nicht möglich ist.</w:t>
      </w:r>
    </w:p>
    <w:p>
      <w:r>
        <w:t xml:space="preserve">(2) Die Befugnisse der nach § 1 jeweils zuständigen Behörde auf Grund anderer Rechtsvorschriften bleiben unberührt.</w:t>
      </w:r>
    </w:p>
    <w:p>
      <w:r>
        <w:t xml:space="preserve">(3) Widerspruch und Anfechtungsklage gegen Maßnahmen nach Absatz 1 Satz 2 haben keine aufschiebende Wirkung.</w:t>
      </w:r>
    </w:p>
    <w:p>
      <w:r>
        <w:rPr>
          <w:color w:val="555555"/>
          <w:sz w:val="17"/>
        </w:rPr>
        <w:t xml:space="preserve">Zitiervorschlag: § 2 KHfEVerbG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https://recht.nulegal.eu/gesetze/KHfEVerbG/2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