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KHWiSichV</w:t>
      </w:r>
    </w:p>
    <w:p>
      <w:r>
        <w:rPr>
          <w:color w:val="555555"/>
          <w:sz w:val="18"/>
        </w:rPr>
        <w:t xml:space="preserve">Verordnung zur Regelung weiterer Maßnahmen zur wirtschaftlichen Sicherung der Krankenhäuser</w:t>
      </w:r>
    </w:p>
    <w:p>
      <w:r>
        <w:rPr>
          <w:color w:val="555555"/>
          <w:sz w:val="18"/>
        </w:rPr>
        <w:t xml:space="preserve">Stand: 10.04.2021 (konsolidierte Textfassung, kein amtliches Inkrafttretensdatum)</w:t>
      </w:r>
    </w:p>
    <w:p>
      <w:r>
        <w:t xml:space="preserve">Das Bundesministerium für Gesundheit verordnet auf Grund</w:t>
      </w:r>
    </w:p>
    <w:p>
      <w:pPr>
        <w:ind w:left="420"/>
      </w:pPr>
      <w:r>
        <w:t xml:space="preserve">– des § 23 Absatz 2 Nummer 1, 3, 4 und 5 des Krankenhausfinanzierungsgesetzes, der durch Artikel 2a Nummer 3 Buchstabe b des Gesetzes vom 18. November 2020 (BGBl. I S. 2397) eingefügt worden ist, im Einvernehmen mit dem Bundesministerium der Finanzen,</w:t>
      </w:r>
    </w:p>
    <w:p>
      <w:pPr>
        <w:ind w:left="420"/>
      </w:pPr>
      <w:r>
        <w:t xml:space="preserve">– des § 111d Absatz 9 des Fünften Buches Sozialgesetzbuch, der durch Artikel 4 Nummer 1a Buchstabe e des Gesetzes vom 18. November 2020 (BGBl. I S. 2397) eingefügt worden ist, sowie</w:t>
      </w:r>
    </w:p>
    <w:p>
      <w:pPr>
        <w:ind w:left="420"/>
      </w:pPr>
      <w:r>
        <w:t xml:space="preserve">– des § 417 Satz 4 des Fünften Buches Sozialgesetzbuch, der durch Artikel 4 Nummer 5 Buchstabe c des Gesetzes vom 18. November 2020 (BGBl. I S. 2397) eingefügt worden ist:</w:t>
      </w:r>
    </w:p>
    <w:p>
      <w:r>
        <w:rPr>
          <w:color w:val="555555"/>
          <w:sz w:val="17"/>
        </w:rPr>
        <w:t xml:space="preserve">Zitiervorschlag: Eingangsformel KHWiSichV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https://recht.nulegal.eu/gesetze/KHWiSichV/eingangsformel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