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KHWiSichV — Inkrafttreten, Außerkrafttreten</w:t>
      </w:r>
    </w:p>
    <w:p>
      <w:r>
        <w:rPr>
          <w:color w:val="555555"/>
          <w:sz w:val="18"/>
        </w:rPr>
        <w:t xml:space="preserve">Verordnung zur Regelung weiterer Maßnahmen zur wirtschaftlichen Sicherung der Krankenhäuser</w:t>
      </w:r>
    </w:p>
    <w:p>
      <w:r>
        <w:rPr>
          <w:color w:val="555555"/>
          <w:sz w:val="18"/>
        </w:rPr>
        <w:t xml:space="preserve">Stand: 10.04.2021 (konsolidierte Textfassung, kein amtliches Inkrafttretensdatum)</w:t>
      </w:r>
    </w:p>
    <w:p>
      <w:r>
        <w:t xml:space="preserve">Diese Verordnung tritt am Tag nach der Verkündung in Kraft. Gleichzeitig tritt die Verordnung zur Anpassung der Voraussetzungen für die Anspruchsberechtigung der Krankenhäuser nach § 21 Absatz 1a des Krankenhausfinanzierungsgesetzes vom 22. Dezember 2020 (BAnz AT 24.12.2020 V1), die zuletzt durch Artikel 1 der Verordnung vom 24. Februar 2021 (BAnz AT 25.02.2021 V1) geändert worden ist, außer Kraft.</w:t>
      </w:r>
    </w:p>
    <w:p>
      <w:r>
        <w:rPr>
          <w:color w:val="555555"/>
          <w:sz w:val="17"/>
        </w:rPr>
        <w:t xml:space="preserve">Zitiervorschlag: § 7 KHWiSichV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https://recht.nulegal.eu/gesetze/KHWiSichV/7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