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KHWiSichV — Verlängerung von Fristen nach den §§ 21 bis 22 und 25 des Krankenhausfinanzierungsgesetzes sowie nach den §§ 111d und 415 des Fünften Buches Sozialgesetzbuch</w:t>
      </w:r>
    </w:p>
    <w:p>
      <w:r>
        <w:rPr>
          <w:color w:val="555555"/>
          <w:sz w:val="18"/>
        </w:rPr>
        <w:t xml:space="preserve">Verordnung zur Regelung weiterer Maßnahmen zur wirtschaftlichen Sicherung der Krankenhäuser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Frist nach § 21 Absatz 1a Satz 1 des Krankenhausfinanzierungsgesetzes wird bis zum 15. Juni 2021 verlängert.</w:t>
      </w:r>
    </w:p>
    <w:p>
      <w:r>
        <w:t xml:space="preserve">(1a) Der Zeitraum nach § 21 Absatz 1b Satz 1 des Krankenhausfinanzierungsgesetzes wird bis zum 18. April 2022 verlängert.</w:t>
      </w:r>
    </w:p>
    <w:p>
      <w:r>
        <w:t xml:space="preserve">(2) Die Frist nach § 21 Absatz 2a Satz 4 des Krankenhausfinanzierungsgesetzes wird bis zum 15. Juni 2021 verlängert.</w:t>
      </w:r>
    </w:p>
    <w:p>
      <w:r>
        <w:t xml:space="preserve">(2a) Die Frist nach § 21 Absatz 2b Satz 4 des Krankenhausfinanzierungsgesetzes wird bis zum 18. April 2022 verlängert.</w:t>
      </w:r>
    </w:p>
    <w:p>
      <w:r>
        <w:t xml:space="preserve">(3) Abweichend von § 21 Absatz 9a Satz 3 des Krankenhausfinanzierungsgesetzes kann die krankenhausbezogene Aufstellung der für das Jahr 2021 nach § 21 Absatz 4a Satz 3 des Krankenhausfinanzierungsgesetzes ausgezahlten Finanzmittel bis zum 15. Juli 2021 übermittelt werden. Abweichend von § 21 Absatz 9b Satz 1 des Krankenhausfinanzierungsgesetzes übermitteln die Länder dem Bundesministerium für Gesundheit und dem Spitzenverband Bund der Krankenkassen</w:t>
      </w:r>
    </w:p>
    <w:p>
      <w:pPr>
        <w:ind w:left="420"/>
      </w:pPr>
      <w:r>
        <w:t xml:space="preserve">1. bis zum 31. Januar 2022 eine krankenhausbezogene nach Monaten differenzierte Aufstellung der nach § 21 Absatz 4a Satz 3 und Absatz 4b Satz 2 des Krankenhausfinanzierungsgesetzes für das Jahr 2021 ausgezahlten Finanzmittel und</w:t>
      </w:r>
    </w:p>
    <w:p>
      <w:pPr>
        <w:ind w:left="420"/>
      </w:pPr>
      <w:r>
        <w:t xml:space="preserve">2. bis zum 18. August 2022 eine krankenhausbezogene nach Monaten differenzierte Aufstellung der nach § 21 Absatz 4b Satz 2 des Krankenhausfinanzierungsgesetzes für das Jahr 2022 ausgezahlten Finanzmittel.</w:t>
      </w:r>
    </w:p>
    <w:p>
      <w:r>
        <w:t xml:space="preserve">(3a) Der Zeitraum nach § 21a Absatz 1 Satz 1 des Krankenhausfinanzierungsgesetzes wird bis zum 30. Juni 2022 verlängert.</w:t>
      </w:r>
    </w:p>
    <w:p>
      <w:r>
        <w:t xml:space="preserve">(3b) Die Frist nach § 21a Absatz 3 Satz 3 des Krankenhausfinanzierungsgesetzes für die Durchführung der letztmaligen Ermittlung nach § 21a Absatz 3 Satz 1 des Krankenhausfinanzierungsgesetzes wird bis zur achtunddreißigsten Kalenderwoche des Jahres 2022 verlängert.</w:t>
      </w:r>
    </w:p>
    <w:p>
      <w:r>
        <w:t xml:space="preserve">(3c) Die bis zum 20. April 2022 laufende Frist nach § 21a Absatz 7 Satz 1 des Krankenhausfinanzierungsgesetzes wird bis zum 20. Oktober 2022 verlängert.</w:t>
      </w:r>
    </w:p>
    <w:p>
      <w:r>
        <w:t xml:space="preserve">(3d) Die Frist nach § 21a Absatz 8 Satz 1 des Krankenhausfinanzierungsgesetzes wird bis zum 29. Oktober 2022 verlängert.</w:t>
      </w:r>
    </w:p>
    <w:p>
      <w:r>
        <w:t xml:space="preserve">(4) Als Zeitraum nach § 22 Absatz 1 Satz 2 des Krankenhausfinanzierungsgesetzes wird der Zeitraum vom 18. November 2021 bis zum 30. Juni 2022 festgelegt.</w:t>
      </w:r>
    </w:p>
    <w:p>
      <w:r>
        <w:t xml:space="preserve">(4a) Die bis zum 19. März 2022 laufenden Fristen nach § 25 Absatz 1 Satz 1 des Krankenhausfinanzierungsgesetzes werden bis zum 30. Juni 2022 verlängert.</w:t>
      </w:r>
    </w:p>
    <w:p>
      <w:r>
        <w:t xml:space="preserve">(5) Die Frist nach § 111d Absatz 2 Satz 4 des Fünften Buches Sozialgesetzbuch wird bis zum 15. Juni 2021 verlängert.</w:t>
      </w:r>
    </w:p>
    <w:p>
      <w:r>
        <w:rPr>
          <w:color w:val="555555"/>
          <w:sz w:val="17"/>
        </w:rPr>
        <w:t xml:space="preserve">Zitiervorschlag: § 4 KHWiSichV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https://recht.nulegal.eu/gesetze/KHWiSichV/4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