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KHWiSichV — Erweiterung der Bestimmungsmöglichkeit gemäß § 21 Absatz 1a Satz 2 Nummer 2 des Krankenhausfinanzierungsgesetzes</w:t>
      </w:r>
    </w:p>
    <w:p>
      <w:r>
        <w:rPr>
          <w:color w:val="555555"/>
          <w:sz w:val="18"/>
        </w:rPr>
        <w:t xml:space="preserve">Verordnung zur Regelung weiterer Maßnahmen zur wirtschaftlichen Sicherung der Krankenhäuser</w:t>
      </w:r>
    </w:p>
    <w:p>
      <w:r>
        <w:rPr>
          <w:color w:val="555555"/>
          <w:sz w:val="18"/>
        </w:rPr>
        <w:t xml:space="preserve">Stand: 10.04.2021 (konsolidierte Textfassung, kein amtliches Inkrafttretensdatum)</w:t>
      </w:r>
    </w:p>
    <w:p>
      <w:r>
        <w:t xml:space="preserve">(1) Unter den Voraussetzungen des § 21 Absatz 1a Satz 2 Nummer 2 des Krankenhausfinanzierungsgesetzes oder in begründeten Ausnahmefällen nach § 21 Absatz 1a Satz 4 zweiter Halbsatz des Krankenhausfinanzierungsgesetzes kann die für die Krankenhausplanung zuständige Landesbehörde für den Zeitraum seit dem 17. Dezember 2020 auch Krankenhäuser für Ausgleichszahlungen nach § 21 Absatz 1a Satz 1 des Krankenhausfinanzierungsgesetzes bestimmen, wenn diese noch keine Zu- oder Abschläge für die Teilnahme oder Nichtteilnahme an der Notfallversorgung gemäß § 9 Absatz 1a Nummer 5 des Krankenhausentgeltgesetzes vereinbart haben und eine Versorgungsstruktur aufweisen, die nach der Feststellung der für die Krankenhausplanung zuständigen Landesbehörde den Anforderungen des Beschlusses des Gemeinsamen Bundesausschusses nach § 136c Absatz 4 Satz 1 des Fünften Buches Sozialgesetzbuch über ein gestuftes System von Notfallstrukturen in Krankenhäusern für die Teilnahme an der Basisnotfallversorgung entspricht.</w:t>
      </w:r>
    </w:p>
    <w:p>
      <w:r>
        <w:t xml:space="preserve">(2) Unter den Voraussetzungen des § 21 Absatz 1a Satz 2 Nummer 2 des Krankenhausfinanzierungsgesetzes oder in begründeten Ausnahmefällen nach § 21 Absatz 1a Satz 4 zweiter Halbsatz des Krankenhausfinanzierungsgesetzes kann die für die Krankenhausplanung zuständige Landesbehörde für den Zeitraum ab dem 15. Januar 2021 auch Krankenhäuser für Ausgleichszahlungen nach § 21 Absatz 1a Satz 1 des Krankenhausfinanzierungsgesetzes bestimmen, wenn einer oder mehrere der Standorte eines Krankenhauses in der Übersicht nach Absatz 3 Satz 1 aufgeführt sind.</w:t>
      </w:r>
    </w:p>
    <w:p>
      <w:r>
        <w:t xml:space="preserve">(3) Das Institut für das Entgeltsystem im Krankenhaus erstellt eine Übersicht der Krankenhausstandorte,</w:t>
      </w:r>
    </w:p>
    <w:p>
      <w:pPr>
        <w:ind w:left="420"/>
      </w:pPr>
      <w:r>
        <w:t xml:space="preserve">1. für die jeweils mit der Datenübermittlung nach § 21 Absatz 2 Nummer 2 Buchstabe f des Krankenhausentgeltgesetzes für das Jahr 2019 für Patientinnen und Patienten, die das erste Lebensjahr vollendet haben und eine Beatmungszeit von mehr als 48 Stunden aufweisen, insgesamt Beatmungszeiten von mehr als 10 000 Stunden übermittelt wurden und</w:t>
      </w:r>
    </w:p>
    <w:p>
      <w:pPr>
        <w:ind w:left="420"/>
      </w:pPr>
      <w:r>
        <w:t xml:space="preserve">2. die</w:t>
      </w:r>
    </w:p>
    <w:p>
      <w:pPr>
        <w:ind w:left="780"/>
      </w:pPr>
      <w:r>
        <w:t xml:space="preserve">a) entweder über den pflegesensitiven Bereich Kardiologie oder Herzchirurgie im Sinne von § 3 Absatz 2 Nummer 1 der Pflegepersonaluntergrenzen-Verordnung verfügen und diesen nach § 5 Absatz 3 Satz 1 Nummer 1 der Pflegepersonaluntergrenzen-Verordnung mitgeteilt haben oder</w:t>
      </w:r>
    </w:p>
    <w:p>
      <w:pPr>
        <w:ind w:left="780"/>
      </w:pPr>
      <w:r>
        <w:t xml:space="preserve">b) über mindestens eine Fachabteilung der Pneumologie, Lungen- und Bronchialheilkunde oder Thoraxchirurgie oder eine Fachabteilung mit einem entsprechenden Schwerpunkt verfügen, die in der Datenübermittlung nach § 21 Absatz 2 Nummer 2 Buchstabe e des Krankenhausentgeltgesetzes für das Jahr 2019 mit den Fachabteilungsschlüsseln 0108, 0114, 1400, 1490, 0800, 0890, 0891, 0892, 1520, 2000, 2021, 2090, 2120 oder 3651 übermittelt wurden.</w:t>
      </w:r>
    </w:p>
    <w:p>
      <w:r>
        <w:t xml:space="preserve">Die Übersicht muss für jeden Krankenhausstandort die folgenden Angaben enthalten:</w:t>
      </w:r>
    </w:p>
    <w:p>
      <w:pPr>
        <w:ind w:left="420"/>
      </w:pPr>
      <w:r>
        <w:t xml:space="preserve">1. den Namen des Krankenhausstandortes,</w:t>
      </w:r>
    </w:p>
    <w:p>
      <w:pPr>
        <w:ind w:left="420"/>
      </w:pPr>
      <w:r>
        <w:t xml:space="preserve">2. das Kennzeichen des Krankenhausstandortes im Sinne der Vereinbarung nach § 293 Absatz 6 Satz 10 Nummer 2 des Fünften Buches Sozialgesetzbuch,</w:t>
      </w:r>
    </w:p>
    <w:p>
      <w:pPr>
        <w:ind w:left="420"/>
      </w:pPr>
      <w:r>
        <w:t xml:space="preserve">3. den Ort und das Bundesland, in dem sich der Krankenhausstandort befindet, und</w:t>
      </w:r>
    </w:p>
    <w:p>
      <w:pPr>
        <w:ind w:left="420"/>
      </w:pPr>
      <w:r>
        <w:t xml:space="preserve">4. das Institutionskennzeichen des Krankenhauses.</w:t>
      </w:r>
    </w:p>
    <w:p>
      <w:r>
        <w:t xml:space="preserve">Das Institut für das Entgeltsystem im Krankenhaus übermittelt die Übersicht an das Bundesministerium für Gesundheit. Das Bundesministerium für Gesundheit stellt den für die Krankenhausplanung zuständigen Landesbehörden die Übersicht elektronisch zur Verfügung.</w:t>
      </w:r>
    </w:p>
    <w:p>
      <w:r>
        <w:rPr>
          <w:color w:val="555555"/>
          <w:sz w:val="17"/>
        </w:rPr>
        <w:t xml:space="preserve">Zitiervorschlag: § 3 KHWiSichV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https://recht.nulegal.eu/gesetze/KHWiSichV/3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