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KHV — Art und Weise der Bereitstellung von geeigneten Kommunikationshilfen</w:t>
      </w:r>
    </w:p>
    <w:p>
      <w:r>
        <w:rPr>
          <w:color w:val="555555"/>
          <w:sz w:val="18"/>
        </w:rPr>
        <w:t xml:space="preserve">Kommunikationshilfenverordnung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Geeignete Kommunikationshilfen werden von dem Träger öffentlicher Gewalt kostenfrei bereitgestellt, es sei denn, die Berechtigten machen von ihrem Wahlrecht nach § 2 Absatz 2 Satz 2 Gebrauch.</w:t>
      </w:r>
    </w:p>
    <w:p>
      <w:r>
        <w:t xml:space="preserve">(2) Die Bundesfachstelle für Barrierefreiheit nach § 13 des Behindertengleichstellungsgesetzes berät und unterstützt den Träger öffentlicher Gewalt bei seiner Aufgabe nach Absatz 1.</w:t>
      </w:r>
    </w:p>
    <w:p>
      <w:r>
        <w:rPr>
          <w:color w:val="555555"/>
          <w:sz w:val="17"/>
        </w:rPr>
        <w:t xml:space="preserve">Zitiervorschlag: § 4 KHV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https://recht.nulegal.eu/gesetze/KHV/4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