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KHV — Kommunikationshilfen</w:t>
      </w:r>
    </w:p>
    <w:p>
      <w:r>
        <w:rPr>
          <w:color w:val="555555"/>
          <w:sz w:val="18"/>
        </w:rPr>
        <w:t xml:space="preserve">Kommunikationshilfenverordnung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Kommunikationshilfe ist als geeignet anzusehen, wenn sie im konkreten Fall eine für die Wahrnehmung eigener Rechte im Verwaltungsverfahren erforderliche Verständigung sicherstellt.</w:t>
      </w:r>
    </w:p>
    <w:p>
      <w:r>
        <w:t xml:space="preserve">(2) Als Kommunikationshilfen kommen in Betracht:</w:t>
      </w:r>
    </w:p>
    <w:p>
      <w:pPr>
        <w:ind w:left="420"/>
      </w:pPr>
      <w:r>
        <w:t xml:space="preserve">1. Gebärdensprachdolmetscherinnen und Gebärdensprachdolmetscher,</w:t>
      </w:r>
    </w:p>
    <w:p>
      <w:pPr>
        <w:ind w:left="420"/>
      </w:pPr>
      <w:r>
        <w:t xml:space="preserve">2. Kommunikationshelferinnen und Kommunikationshelfer,</w:t>
      </w:r>
    </w:p>
    <w:p>
      <w:pPr>
        <w:ind w:left="420"/>
      </w:pPr>
      <w:r>
        <w:t xml:space="preserve">3. Kommunikationsmethoden sowie</w:t>
      </w:r>
    </w:p>
    <w:p>
      <w:pPr>
        <w:ind w:left="420"/>
      </w:pPr>
      <w:r>
        <w:t xml:space="preserve">4. Kommunikationsmittel.</w:t>
      </w:r>
    </w:p>
    <w:p>
      <w:r>
        <w:t xml:space="preserve">Kommunikationshelferinnen und Kommunikationshelfer nach Satz 1 Nummer 2 sind insbesondere</w:t>
      </w:r>
    </w:p>
    <w:p>
      <w:pPr>
        <w:ind w:left="420"/>
      </w:pPr>
      <w:r>
        <w:t xml:space="preserve">1. Schriftdolmetscherinnen und Schriftdolmetscher,</w:t>
      </w:r>
    </w:p>
    <w:p>
      <w:pPr>
        <w:ind w:left="420"/>
      </w:pPr>
      <w:r>
        <w:t xml:space="preserve">2. Simultanschriftdolmetscherinnen und Simultanschriftdolmetscher,</w:t>
      </w:r>
    </w:p>
    <w:p>
      <w:pPr>
        <w:ind w:left="420"/>
      </w:pPr>
      <w:r>
        <w:t xml:space="preserve">3. Oraldolmetscherinnen und Oraldolmetscher,</w:t>
      </w:r>
    </w:p>
    <w:p>
      <w:pPr>
        <w:ind w:left="420"/>
      </w:pPr>
      <w:r>
        <w:t xml:space="preserve">4. Kommunikationsassistentinnen und Kommunikationsassistenten oder</w:t>
      </w:r>
    </w:p>
    <w:p>
      <w:pPr>
        <w:ind w:left="420"/>
      </w:pPr>
      <w:r>
        <w:t xml:space="preserve">5. sonstige Personen des Vertrauens der Berechtigten.</w:t>
      </w:r>
    </w:p>
    <w:p>
      <w:r>
        <w:t xml:space="preserve">Kommunikationsmethoden nach Satz 1 Nummer 3 sind insbesondere</w:t>
      </w:r>
    </w:p>
    <w:p>
      <w:pPr>
        <w:ind w:left="420"/>
      </w:pPr>
      <w:r>
        <w:t xml:space="preserve">1. Lormen und taktil wahrnehmbare Gebärden oder</w:t>
      </w:r>
    </w:p>
    <w:p>
      <w:pPr>
        <w:ind w:left="420"/>
      </w:pPr>
      <w:r>
        <w:t xml:space="preserve">2. gestützte Kommunikation für Menschen mit autistischer Störung.</w:t>
      </w:r>
    </w:p>
    <w:p>
      <w:r>
        <w:t xml:space="preserve">Kommunikationsmittel nach Satz 1 Nummer 4 sind insbesondere</w:t>
      </w:r>
    </w:p>
    <w:p>
      <w:pPr>
        <w:ind w:left="420"/>
      </w:pPr>
      <w:r>
        <w:t xml:space="preserve">1. akustisch-technische Hilfen oder</w:t>
      </w:r>
    </w:p>
    <w:p>
      <w:pPr>
        <w:ind w:left="420"/>
      </w:pPr>
      <w:r>
        <w:t xml:space="preserve">2. grafische Symbol-Systeme.</w:t>
      </w:r>
    </w:p>
    <w:p>
      <w:r>
        <w:rPr>
          <w:color w:val="555555"/>
          <w:sz w:val="17"/>
        </w:rPr>
        <w:t xml:space="preserve">Zitiervorschlag: § 3 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