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KHV — Umfang des Anspruchs</w:t>
      </w:r>
    </w:p>
    <w:p>
      <w:r>
        <w:rPr>
          <w:color w:val="555555"/>
          <w:sz w:val="18"/>
        </w:rPr>
        <w:t xml:space="preserve">Kommunikationshilfenverordnung</w:t>
      </w:r>
    </w:p>
    <w:p>
      <w:r>
        <w:rPr>
          <w:color w:val="555555"/>
          <w:sz w:val="18"/>
        </w:rPr>
        <w:t xml:space="preserve">Stand: 10.06.2019 (konsolidierte Textfassung, kein amtliches Inkrafttretensdatum)</w:t>
      </w:r>
    </w:p>
    <w:p>
      <w:r>
        <w:t xml:space="preserve">(1) Der Anspruch auf Bereitstellung einer geeigneten Kommunikationshilfe besteht zur Wahrnehmung eigener Rechte in einem Verwaltungsverfahren in dem dafür notwendigen Umfang. Der notwendige Umfang bestimmt sich insbesondere nach dem individuellen Bedarf der Berechtigten.</w:t>
      </w:r>
    </w:p>
    <w:p>
      <w:r>
        <w:t xml:space="preserve">(2) Die Berechtigten haben nach Maßgabe des Absatzes 1 ein Wahlrecht hinsichtlich der zu benutzenden Kommunikationshilfe. Dies umfasst auch das Recht, eine geeignete Kommunikationshilfe selbst bereitzustellen. Die Berechtigten haben dem Träger öffentlicher Gewalt rechtzeitig mitzuteilen, inwieweit sie von ihrem Wahlrecht nach Satz 1 und 2 Gebrauch machen. Der Träger öffentlicher Gewalt kann die ausgewählte Kommunikationshilfe zurückweisen, wenn sie ungeeignet ist. Die Hör- oder Sprachbehinderung sowie die Wahlentscheidung nach Satz 1 sind aktenkundig zu machen und im weiteren Verwaltungsverfahren von Amts wegen zu berücksichtigen.</w:t>
      </w:r>
    </w:p>
    <w:p>
      <w:r>
        <w:t xml:space="preserve">(3) Erhält der Träger öffentlicher Gewalt Kenntnis von der Hör- oder Sprachbehinderung von Berechtigten im Verwaltungsverfahren, hat er diese auf ihr Recht auf barrierefreie Kommunikation und auf ihr Wahlrecht nach Absatz 2 hinzuweisen.</w:t>
      </w:r>
    </w:p>
    <w:p>
      <w:r>
        <w:t xml:space="preserve">(4) Zur Abwehr von unmittelbar bevorstehenden Gefahren für bedeutsame Rechtsgüter, wie etwa Leben, Gesundheit, Freiheit oder nicht unwesentliche Vermögenswerte, kann im Einzelfall von dem Einsatz einer Kommunikationshilfe abgesehen werden.</w:t>
      </w:r>
    </w:p>
    <w:p>
      <w:r>
        <w:rPr>
          <w:color w:val="555555"/>
          <w:sz w:val="17"/>
        </w:rPr>
        <w:t xml:space="preserve">Zitiervorschlag: § 2 KHV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https://recht.nulegal.eu/gesetze/KHV/2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