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KHV — Anwendungsbereich und Anlass</w:t>
      </w:r>
    </w:p>
    <w:p>
      <w:r>
        <w:rPr>
          <w:color w:val="555555"/>
          <w:sz w:val="18"/>
        </w:rPr>
        <w:t xml:space="preserve">Kommunikationshilfenverordnung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gilt für alle Menschen mit Hör- oder Sprachbehinderungen nach Maßgabe des § 3 des Behindertengleichstellungsgesetzes, die als Beteiligte eines Verwaltungsverfahrens zur Wahrnehmung eigener Rechte für die mündliche Kommunikation im Verwaltungsverfahren einen Anspruch auf Bereitstellung einer geeigneten Kommunikationshilfe haben (Berechtigte).</w:t>
      </w:r>
    </w:p>
    <w:p>
      <w:r>
        <w:t xml:space="preserve">(2) Die Berechtigten können ihren Anspruch nach § 9 Absatz 1 des Behindertengleichstellungsgesetzes gegenüber jedem Träger öffentlicher Gewalt im Sinne des § 1 Absatz 2 Satz 1 des Behindertengleichstellungsgesetzes geltend machen.</w:t>
      </w:r>
    </w:p>
    <w:p>
      <w:r>
        <w:rPr>
          <w:color w:val="555555"/>
          <w:sz w:val="17"/>
        </w:rPr>
        <w:t xml:space="preserve">Zitiervorschlag: § 1 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