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KHTFV</w:t>
      </w:r>
    </w:p>
    <w:p>
      <w:r>
        <w:rPr>
          <w:color w:val="555555"/>
          <w:sz w:val="18"/>
        </w:rPr>
        <w:t xml:space="preserve">Krankenhaustransformationsfonds-Verordnung</w:t>
      </w:r>
    </w:p>
    <w:p>
      <w:r>
        <w:rPr>
          <w:color w:val="555555"/>
          <w:sz w:val="18"/>
        </w:rPr>
        <w:t xml:space="preserve">Stand: 18.04.2025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KHTFV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https://recht.nulegal.eu/gesetze/KHTFV/schlussformel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