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KHTFV</w:t>
      </w:r>
    </w:p>
    <w:p>
      <w:r>
        <w:rPr>
          <w:color w:val="555555"/>
          <w:sz w:val="18"/>
        </w:rPr>
        <w:t xml:space="preserve">Krankenhaustransformationsfonds-Verordnung</w:t>
      </w:r>
    </w:p>
    <w:p>
      <w:r>
        <w:rPr>
          <w:color w:val="555555"/>
          <w:sz w:val="18"/>
        </w:rPr>
        <w:t xml:space="preserve">Stand: 18.04.2025 (konsolidierte Textfassung, kein amtliches Inkrafttretensdatum)</w:t>
      </w:r>
    </w:p>
    <w:p>
      <w:r>
        <w:t xml:space="preserve">Das Bundesministerium für Gesundheit verordnet aufgrund des § 12b Absatz 5 des Krankenhausfinanzierungsgesetzes in der Fassung der Bekanntmachung vom 10. April 1991 (BGBl. I S. 886), das zuletzt durch Artikel 2 des Gesetzes vom 5. Dezember 2024 (BGBl. 2024 I Nr. 400) geändert worden ist:</w:t>
      </w:r>
    </w:p>
    <w:p>
      <w:r>
        <w:rPr>
          <w:color w:val="555555"/>
          <w:sz w:val="17"/>
        </w:rPr>
        <w:t xml:space="preserve">Zitiervorschlag: Eingangsformel KHTFV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https://recht.nulegal.eu/gesetze/KHTFV/eingangsformel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