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KHTFV — Ziel und Anwendungsbereich</w:t>
      </w:r>
    </w:p>
    <w:p>
      <w:r>
        <w:rPr>
          <w:color w:val="555555"/>
          <w:sz w:val="18"/>
        </w:rPr>
        <w:t xml:space="preserve">Krankenhaustransformationsfonds-Verordnung</w:t>
      </w:r>
    </w:p>
    <w:p>
      <w:r>
        <w:rPr>
          <w:color w:val="555555"/>
          <w:sz w:val="18"/>
        </w:rPr>
        <w:t xml:space="preserve">Stand: 18.04.2025 (konsolidierte Textfassung, kein amtliches Inkrafttretensdatum)</w:t>
      </w:r>
    </w:p>
    <w:p>
      <w:r>
        <w:t xml:space="preserve">(1) Ziel dieser Verordnung ist die Transformation der Krankenhausstrukturen zur Anpassung an die durch das Krankenhausversorgungsverbesserungsgesetz vom 5. Dezember 2024 (BGBl. 2024 I Nr. 400) bewirkten Rechtsänderungen. Zur Erreichung des in Satz 1 genannten Ziels regelt diese Verordnung das Nähere zu den Voraussetzungen und zum Verfahren der Förderung von Vorhaben nach § 12b des Krankenhausfinanzierungsgesetzes.</w:t>
      </w:r>
    </w:p>
    <w:p>
      <w:r>
        <w:t xml:space="preserve">(2) Diese Verordnung gilt, soweit § 3 nichts anderes bestimmt, für Vorhaben an zugelassenen Krankenhäusern, die nach Maßgabe des Krankenhausfinanzierungsgesetzes förderfähig sind.</w:t>
      </w:r>
    </w:p>
    <w:p>
      <w:r>
        <w:rPr>
          <w:color w:val="555555"/>
          <w:sz w:val="17"/>
        </w:rPr>
        <w:t xml:space="preserve">Zitiervorschlag: § 1 KHTFV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https://recht.nulegal.eu/gesetze/KHTFV/1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