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KHStatV — Übermittlung, Veröffentlichung</w:t>
      </w:r>
    </w:p>
    <w:p>
      <w:r>
        <w:rPr>
          <w:color w:val="555555"/>
          <w:sz w:val="18"/>
        </w:rPr>
        <w:t xml:space="preserve">Krankenhausstatistik-Verordnung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Statistische Bundesamt und die Statistischen Landesämter dürfen den fachlich zuständigen obersten Bundes- und Landesbehörden Tabellen mit statistischen Ergebnissen übermitteln für</w:t>
      </w:r>
    </w:p>
    <w:p>
      <w:pPr>
        <w:ind w:left="420"/>
      </w:pPr>
      <w:r>
        <w:t xml:space="preserve">1. die Verwendung gegenüber den gesetzgebenden Körperschaften und</w:t>
      </w:r>
    </w:p>
    <w:p>
      <w:pPr>
        <w:ind w:left="420"/>
      </w:pPr>
      <w:r>
        <w:t xml:space="preserve">2. Zwecke der Planung, jedoch nicht für die Regelung von Einzelfällen.</w:t>
      </w:r>
    </w:p>
    <w:p>
      <w:r>
        <w:t xml:space="preserve">Satz 1 gilt auch, wenn Tabellenfelder nur einen einzigen Fall ausweisen. Für Tabellen mit statistischen Ergebnissen mit diagnosebezogenen Daten nach § 3 Satz 1 Nummer 14 gilt, dass diese nicht Daten unterhalb der Kreisebene ausweisen dürfen.</w:t>
      </w:r>
    </w:p>
    <w:p>
      <w:r>
        <w:t xml:space="preserve">(2) Die Statistischen Landesämter dürfen den obersten Landesbehörden für Zwecke der Krankenhausplanung Tabellen mit statistischen Ergebnissen nach Absatz 1 Satz 1 mit diagnosebezogenen Daten nach § 3 Satz 1 Nummer 14 für einzelne Krankenhäuser übermitteln, wenn nicht mehr als die folgenden Daten verbunden werden:</w:t>
      </w:r>
    </w:p>
    <w:p>
      <w:pPr>
        <w:ind w:left="420"/>
      </w:pPr>
      <w:r>
        <w:t xml:space="preserve">1. bei Diagnosestatistiken die Hauptdiagnose, gegliedert nach Altersgruppen, in Verbindung mit Patientenzahl und Verweildauer,</w:t>
      </w:r>
    </w:p>
    <w:p>
      <w:pPr>
        <w:ind w:left="420"/>
      </w:pPr>
      <w:r>
        <w:t xml:space="preserve">2. bei Einzugsgebietsstatistiken die Postleitzahl und der Wohnort, in Stadtstaaten zusätzlich die Stadtteile, in Verbindung mit Fachabteilung, Hauptdiagnose und Patientenzahl.</w:t>
      </w:r>
    </w:p>
    <w:p>
      <w:r>
        <w:t xml:space="preserve">(3) Die Statistischen Landesämter sind berechtigt, jährlich ein Verzeichnis mit folgenden Angaben zu veröffentlichen:</w:t>
      </w:r>
    </w:p>
    <w:p>
      <w:pPr>
        <w:ind w:left="420"/>
      </w:pPr>
      <w:r>
        <w:t xml:space="preserve">1. Name, Anschrift, Träger oder Eigentümer, Art, Fachabteilungen, Standort, Stufe der Teilnahme an der stationären Notfallversorgung nach § 136c Absatz 4 des Fünften Buches Sozialgesetzbuch und Bettenzahl von Krankenhäusern,</w:t>
      </w:r>
    </w:p>
    <w:p>
      <w:pPr>
        <w:ind w:left="420"/>
      </w:pPr>
      <w:r>
        <w:t xml:space="preserve">2. Name, Anschrift, Träger oder Eigentümer, Art, Fachabteilungen und Bettenzahl von Vorsorge- oder Rehabilitationseinrichtungen.</w:t>
      </w:r>
    </w:p>
    <w:p>
      <w:r>
        <w:rPr>
          <w:color w:val="555555"/>
          <w:sz w:val="17"/>
        </w:rPr>
        <w:t xml:space="preserve">Zitiervorschlag: § 7 KHStatV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https://recht.nulegal.eu/gesetze/KHStatV/7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