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KHStatV — Auskunftspflicht</w:t>
      </w:r>
    </w:p>
    <w:p>
      <w:r>
        <w:rPr>
          <w:color w:val="555555"/>
          <w:sz w:val="18"/>
        </w:rPr>
        <w:t xml:space="preserve">Krankenhausstatistik-Verordnung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Erhebung besteht Auskunftspflicht. Die Angaben zu § 4 Nummer 4 sind freiwillig.</w:t>
      </w:r>
    </w:p>
    <w:p>
      <w:r>
        <w:t xml:space="preserve">(2) Auskunftspflichtig sind die Träger oder die Eigentümer der Krankenhäuser und der Vorsorge- oder Rehabilitationseinrichtungen.</w:t>
      </w:r>
    </w:p>
    <w:p>
      <w:r>
        <w:t xml:space="preserve">(3) Folgende Angaben sind zu machen:</w:t>
      </w:r>
    </w:p>
    <w:p>
      <w:pPr>
        <w:ind w:left="420"/>
      </w:pPr>
      <w:r>
        <w:t xml:space="preserve">1. für die Krankenhäuser: Angaben zu den Erhebungsmerkmalen nach § 3 Satz 1 Nummer 1 bis 20,</w:t>
      </w:r>
    </w:p>
    <w:p>
      <w:pPr>
        <w:ind w:left="420"/>
      </w:pPr>
      <w:r>
        <w:t xml:space="preserve">2. für die Vorsorge- oder Rehabilitationseinrichtungen: Angaben nach § 3 Satz 1 Nummer 1 bis 3, 5, 11 bis 14 und 19 und</w:t>
      </w:r>
    </w:p>
    <w:p>
      <w:pPr>
        <w:ind w:left="420"/>
      </w:pPr>
      <w:r>
        <w:t xml:space="preserve">3. für die Krankenhäuser, deren Träger der Bund ist: Angaben zu den Erhebungsmerkmalen nach § 3 Satz 1 Nummer 1 bis 8, 14, 17 und 19, wenn Leistungen für Zivilpatientinnen und Zivilpatienten erbracht werden.</w:t>
      </w:r>
    </w:p>
    <w:p>
      <w:r>
        <w:rPr>
          <w:color w:val="555555"/>
          <w:sz w:val="17"/>
        </w:rPr>
        <w:t xml:space="preserve">Zitiervorschlag: § 6 KHStatV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https://recht.nulegal.eu/gesetze/KHStatV/6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