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KHStatV — Hilfsmerkmale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des Krankenhausträgers oder des Trägers der Vorsorge- oder Rehabilitationseinrichtung,</w:t>
      </w:r>
    </w:p>
    <w:p>
      <w:pPr>
        <w:ind w:left="420"/>
      </w:pPr>
      <w:r>
        <w:t xml:space="preserve">2. Name und Anschrift des Krankenhauses oder der Vorsorge- oder Rehabilitationseinrichtung,</w:t>
      </w:r>
    </w:p>
    <w:p>
      <w:pPr>
        <w:ind w:left="420"/>
      </w:pPr>
      <w:r>
        <w:t xml:space="preserve">3. Name und Anschrift des Eigentümers des Krankenhauses oder der Vorsorge- oder Rehabilitationseinrichtung,</w:t>
      </w:r>
    </w:p>
    <w:p>
      <w:pPr>
        <w:ind w:left="420"/>
      </w:pPr>
      <w:r>
        <w:t xml:space="preserve">4. Name und Kontaktdaten der für Rückfragen zur Verfügung stehenden Person,</w:t>
      </w:r>
    </w:p>
    <w:p>
      <w:pPr>
        <w:ind w:left="420"/>
      </w:pPr>
      <w:r>
        <w:t xml:space="preserve">5. Institutionskennzeichen des Krankenhauses,</w:t>
      </w:r>
    </w:p>
    <w:p>
      <w:pPr>
        <w:ind w:left="420"/>
      </w:pPr>
      <w:r>
        <w:t xml:space="preserve">6. ab dem 1. Januar 2020 die Standorte des Krankenhauses entsprechend dem Verzeichnis nach § 293 Absatz 6 des Fünften Buches Sozialgesetzbuch.</w:t>
      </w:r>
    </w:p>
    <w:p>
      <w:r>
        <w:rPr>
          <w:color w:val="555555"/>
          <w:sz w:val="17"/>
        </w:rPr>
        <w:t xml:space="preserve">Zitiervorschlag: § 4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