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KHStatV — Erhebungseinheiten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sind:</w:t>
      </w:r>
    </w:p>
    <w:p>
      <w:pPr>
        <w:ind w:left="420"/>
      </w:pPr>
      <w:r>
        <w:t xml:space="preserve">1. Krankenhäuser einschließlich Ausbildungsstätten und zusätzlich ab dem 1. Januar 2020 die Standorte der Krankenhäuser entsprechend dem Verzeichnis nach § 293 Absatz 6 des Fünften Buches Sozialgesetzbuch,</w:t>
      </w:r>
    </w:p>
    <w:p>
      <w:pPr>
        <w:ind w:left="420"/>
      </w:pPr>
      <w:r>
        <w:t xml:space="preserve">2. Vorsorge- oder Rehabilitationseinrichtungen.</w:t>
      </w:r>
    </w:p>
    <w:p>
      <w:r>
        <w:rPr>
          <w:color w:val="555555"/>
          <w:sz w:val="17"/>
        </w:rPr>
        <w:t xml:space="preserve">Zitiervorschlag: § 2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