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KHSFV</w:t>
      </w:r>
    </w:p>
    <w:p>
      <w:r>
        <w:rPr>
          <w:color w:val="555555"/>
          <w:sz w:val="18"/>
        </w:rPr>
        <w:t xml:space="preserve">Krankenhausstrukturfonds-Verordnung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 Absatz 3 des Krankenhausfinanzierungsgesetzes, der durch Artikel 1 Nummer 5 des Gesetzes vom 10. Dezember 2015 (BGBl. I S. 2229) eingefügt worden ist, verordnet das Bundesministerium für Gesundheit:</w:t>
      </w:r>
    </w:p>
    <w:p>
      <w:r>
        <w:rPr>
          <w:color w:val="555555"/>
          <w:sz w:val="17"/>
        </w:rPr>
        <w:t xml:space="preserve">Zitiervorschlag: Eingangsformel KHSFV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https://recht.nulegal.eu/gesetze/KHSFV/eingangsformel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