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KHSFV — Rückforderung und Verzinsung von Fördermitteln</w:t>
      </w:r>
    </w:p>
    <w:p>
      <w:r>
        <w:rPr>
          <w:color w:val="555555"/>
          <w:sz w:val="18"/>
        </w:rPr>
        <w:t xml:space="preserve">Krankenhausstrukturfonds-Verordnung</w:t>
      </w:r>
    </w:p>
    <w:p>
      <w:r>
        <w:rPr>
          <w:color w:val="555555"/>
          <w:sz w:val="18"/>
        </w:rPr>
        <w:t xml:space="preserve">Stand: 05.04.2020 (konsolidierte Textfassung, kein amtliches Inkrafttretensdatum)</w:t>
      </w:r>
    </w:p>
    <w:p>
      <w:r>
        <w:t xml:space="preserve">(1) Für die Rücknahme oder den Widerruf von Auszahlungsbescheiden des Bundesamtes für Soziale Sicherung und für die Erstattung von Fördermitteln gelten die §§ 44 bis 51 des Zehnten Buches Sozialgesetzbuch.</w:t>
      </w:r>
    </w:p>
    <w:p>
      <w:r>
        <w:t xml:space="preserve">(2) Das Bundesamt für Soziale Sicherung macht Rückforderungsansprüche gegenüber den Ländern durch Bescheid geltend, soweit die Voraussetzungen für eine Auszahlung der Fördermittel von Anfang an nicht bestanden haben oder nachträglich entfallen sind, der Finanzierungsanteil des Strukturfonds höher als 50 Prozent liegt, Beträge nicht zweckentsprechend verwendet worden sind, die Nachweise nach § 8 nicht oder nicht vollständig vorgelegt werden oder die Auswertung nach § 14 des Krankenhausfinanzierungsgesetzes ergibt, dass die Verpflichtungen nach § 12 Absatz 2 Satz 1 Nummer 3 des Krankenhausfinanzierungsgesetzes nicht eingehalten worden sind. Zinserträge, die mit den Fördermitteln erzielt worden sind, sind anteilig an das Bundesamt für Soziale Sicherung zu Gunsten des Strukturfonds abzuführen. Satz 2 gilt nicht für die Zinserträge, die ein Land aus der Bewirtschaftung der Fördermittel erzielt, wenn es diese in Teilbeträgen an den Krankenhausträger auszahlt.</w:t>
      </w:r>
    </w:p>
    <w:p>
      <w:r>
        <w:t xml:space="preserve">(3) Fordert ein Land von ihm gewährte Mittel vom Krankenhausträger zurück, hat es auch den aus dem Strukturfonds gezahlten Anteil zurückzufordern und an das Bundesamt für Soziale Sicherung zu Gunsten des Strukturfonds zurückzuzahlen. Absatz 2 Satz 2 und 3 gilt entsprechend.</w:t>
      </w:r>
    </w:p>
    <w:p>
      <w:r>
        <w:rPr>
          <w:color w:val="555555"/>
          <w:sz w:val="17"/>
        </w:rPr>
        <w:t xml:space="preserve">Zitiervorschlag: § 7 KHSFV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https://recht.nulegal.eu/gesetze/KHSFV/7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