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KHSFV — Nachverteilung</w:t>
      </w:r>
    </w:p>
    <w:p>
      <w:r>
        <w:rPr>
          <w:color w:val="555555"/>
          <w:sz w:val="18"/>
        </w:rPr>
        <w:t xml:space="preserve">Krankenhausstrukturfonds-Verordnung</w:t>
      </w:r>
    </w:p>
    <w:p>
      <w:r>
        <w:rPr>
          <w:color w:val="555555"/>
          <w:sz w:val="18"/>
        </w:rPr>
        <w:t xml:space="preserve">Stand: 29.10.2020 (konsolidierte Textfassung, kein amtliches Inkrafttretensdatum)</w:t>
      </w:r>
    </w:p>
    <w:p>
      <w:r>
        <w:t xml:space="preserve">(1) Das Bundesamt für Soziale Sicherung ermittelt, in welcher Höhe für die bis zum 31. Juli 2017 eingegangenen Anträge höchstens Mittel aus dem Strukturfonds bereitzustellen sind. Unterschreitet der nach Satz 1 ermittelte Betrag den Betrag von 500 Millionen Euro abzüglich der Aufwendungen des Bundesamtes für Soziale Sicherung nach § 12 Absatz 2 Satz 6 des Krankenhausfinanzierungsgesetzes und § 14 Satz 4 des Krankenhausfinanzierungsgesetzes, steht der Unterschiedsbetrag zur Nachverteilung zur Verfügung (Nachverteilungsbetrag). Im Fall einer finanziellen Beteiligung der privaten Krankenversicherung erhöht sich der Betrag nach Satz 2 entsprechend. Das Bundesamt für Soziale Sicherung teilt den Ländern unverzüglich die Höhe des Nachverteilungsbetrags mit.</w:t>
      </w:r>
    </w:p>
    <w:p>
      <w:r>
        <w:t xml:space="preserve">(2) Der Nachverteilungsbetrag wird für die Förderung von Vorhaben verwendet, für die nach dem 1. September 2017 Anträge von den Ländern gestellt werden. Das Bundesamt für Soziale Sicherung entscheidet über die Anträge in der Reihenfolge ihres Eingangs und zahlt die Mittel aus, bis der Betrag von 500 Millionen Euro abzüglich der Aufwendungen des Bundesamtes für Soziale Sicherung nach § 12 Absatz 2 Satz 6 des Krankenhausfinanzierungsgesetzes und § 14 Satz 4 des Krankenhausfinanzierungsgesetzes ausgeschöpft ist. Absatz 1 Satz 3 gilt entsprechend.</w:t>
      </w:r>
    </w:p>
    <w:p>
      <w:r>
        <w:rPr>
          <w:color w:val="555555"/>
          <w:sz w:val="17"/>
        </w:rPr>
        <w:t xml:space="preserve">Zitiervorschlag: § 5 KHSFV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https://recht.nulegal.eu/gesetze/KHSFV/5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