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KHSFV — Antragstellung</w:t>
      </w:r>
    </w:p>
    <w:p>
      <w:r>
        <w:rPr>
          <w:color w:val="555555"/>
          <w:sz w:val="18"/>
        </w:rPr>
        <w:t xml:space="preserve">Krankenhausstrukturfonds-Verordnung</w:t>
      </w:r>
    </w:p>
    <w:p>
      <w:r>
        <w:rPr>
          <w:color w:val="555555"/>
          <w:sz w:val="18"/>
        </w:rPr>
        <w:t xml:space="preserve">Stand: 12.12.2024 (konsolidierte Textfassung, kein amtliches Inkrafttretensdatum)</w:t>
      </w:r>
    </w:p>
    <w:p>
      <w:r>
        <w:t xml:space="preserve">(1) Die Länder können bis zum 31. Juli 2017 Anträge an das Bundesamt für Soziale Sicherung auf Auszahlung von Fördermitteln aus dem Strukturfonds stellen. Wird ein fristgemäß gestellter Antrag nach Fristablauf bestandskräftig abgelehnt oder zurückgenommen oder werden Fördermittel nach § 7 zurückgezahlt, kann das betreffende Land bis zum 31. Dezember 2025 Fördermittel beantragen, soweit sein Anteil nach § 3 Absatz 1 noch nicht ausgeschöpft ist.</w:t>
      </w:r>
    </w:p>
    <w:p>
      <w:r>
        <w:t xml:space="preserve">(2) Dem Antrag sind die nachfolgenden Unterlagen beizufügen:</w:t>
      </w:r>
    </w:p>
    <w:p>
      <w:pPr>
        <w:ind w:left="420"/>
      </w:pPr>
      <w:r>
        <w:t xml:space="preserve">1. die Beschreibung des Vorhabens, aus der sich der Träger, der voraussichtliche Beginn und das voraussichtliche Ende des Vorhabens sowie die voraussichtliche Höhe des Investitionsvolumens ergeben,</w:t>
      </w:r>
    </w:p>
    <w:p>
      <w:pPr>
        <w:ind w:left="420"/>
      </w:pPr>
      <w:r>
        <w:t xml:space="preserve">2. die Erklärung, aus der sich die voraussichtliche Höhe der förderungsfähigen Kosten, der Finanzierungsanteil des Landes und gegebenenfalls die Finanzierungsbeiträge Dritter ergeben,</w:t>
      </w:r>
    </w:p>
    <w:p>
      <w:pPr>
        <w:ind w:left="420"/>
      </w:pPr>
      <w:r>
        <w:t xml:space="preserve">3. die Erklärung zur Verpflichtung, die Voraussetzungen des § 12 Absatz 2 Satz 1 Nummer 3 des Krankenhausfinanzierungsgesetzes einzuhalten,</w:t>
      </w:r>
    </w:p>
    <w:p>
      <w:pPr>
        <w:ind w:left="420"/>
      </w:pPr>
      <w:r>
        <w:t xml:space="preserve">4. bei Vorhaben nach § 1 Absatz 1 Nummer 1 die Bestätigung, dass</w:t>
      </w:r>
    </w:p>
    <w:p>
      <w:pPr>
        <w:ind w:left="780"/>
      </w:pPr>
      <w:r>
        <w:t xml:space="preserve">a) die stillgelegte Versorgungsfunktion durch Krankenhäuser in erreichbarer Nähe sichergestellt wird und</w:t>
      </w:r>
    </w:p>
    <w:p>
      <w:pPr>
        <w:ind w:left="780"/>
      </w:pPr>
      <w:r>
        <w:t xml:space="preserve">b) der betroffene Krankenhausträger gegenüber dem antragstellenden Land auf Grund der Schließung nicht zur Rückzahlung von Mitteln für die Investitionsfinanzierung verpflichtet ist,</w:t>
      </w:r>
    </w:p>
    <w:p>
      <w:pPr>
        <w:ind w:left="420"/>
      </w:pPr>
      <w:r>
        <w:t xml:space="preserve">5. bei Vorhaben nach § 1 Absatz 1 Nummer 3 Buchstabe b die Erklärung, dass die mit der Umwandlung beabsichtigte Nachfolgenutzung in Übereinstimmung mit den maßgeblichen rechtlichen Vorgaben steht,</w:t>
      </w:r>
    </w:p>
    <w:p>
      <w:pPr>
        <w:ind w:left="420"/>
      </w:pPr>
      <w:r>
        <w:t xml:space="preserve">6. die Berechnung des Barwerts nach § 2 Absatz 3 einschließlich einer Erläuterung der zu Grunde gelegten versicherungsmathematischen Annahmen, wenn ein förderungsfähiges Vorhaben durch Aufnahme eines Darlehens des Krankenhausträgers finanziert werden soll, und</w:t>
      </w:r>
    </w:p>
    <w:p>
      <w:pPr>
        <w:ind w:left="420"/>
      </w:pPr>
      <w:r>
        <w:t xml:space="preserve">7. den Nachweis, dass mit den Landesverbänden der Krankenkassen und den Ersatzkassen das Einvernehmen über die Förderung des Vorhabens und die Beantragung von Mitteln aus dem Strukturfonds herbeigeführt worden ist.</w:t>
      </w:r>
    </w:p>
    <w:p>
      <w:r>
        <w:t xml:space="preserve">Das Bundesamt für Soziale Sicherung kann im Einzelfall weitere Nachweise verlangen, wenn dies erforderlich ist, um die Förderungsfähigkeit eines Vorhabens zu prüfen.</w:t>
      </w:r>
    </w:p>
    <w:p>
      <w:r>
        <w:rPr>
          <w:color w:val="555555"/>
          <w:sz w:val="17"/>
        </w:rPr>
        <w:t xml:space="preserve">Zitiervorschlag: § 4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