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KHSFV — Rückforderung, Verzinsung und Bewirtschaftung von Fördermitteln</w:t>
      </w:r>
    </w:p>
    <w:p>
      <w:r>
        <w:rPr>
          <w:color w:val="555555"/>
          <w:sz w:val="18"/>
        </w:rPr>
        <w:t xml:space="preserve">Krankenhausstrukturfonds-Verordnung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(1) Für die Rücknahme oder den Widerruf von Auszahlungsbescheiden des Bundesamtes für Soziale Sicherung und für die Erstattung von Fördermitteln gelten die §§ 44 bis 51 des Zehnten Buches Sozialgesetzbuch.</w:t>
      </w:r>
    </w:p>
    <w:p>
      <w:r>
        <w:t xml:space="preserve">(2) Das Bundesamt für Soziale Sicherung macht Rückforderungsansprüche gegenüber den Ländern durch Bescheid geltend, wenn einer der in § 23 Absatz 2 genannten Fälle vorliegt. Legt das Land seinen Bescheid über die Förderung eines Vorhabens nicht in der in § 23 Absatz 3 genannten Frist dem Bundesamt für Soziale Sicherung vor, kann das Bundesamt für Soziale Sicherung den Auszahlungsbescheid aufheben und die gewährten Fördermittel zurückfordern. § 7 Absatz 2 Satz 2 und 3 sowie Absatz 3 gilt entsprechend.</w:t>
      </w:r>
    </w:p>
    <w:p>
      <w:r>
        <w:t xml:space="preserve">(3) Für die Bewirtschaftung der Fördermittel gilt § 9 entsprechend.</w:t>
      </w:r>
    </w:p>
    <w:p>
      <w:r>
        <w:rPr>
          <w:color w:val="555555"/>
          <w:sz w:val="17"/>
        </w:rPr>
        <w:t xml:space="preserve">Zitiervorschlag: § 24 KHSFV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https://recht.nulegal.eu/gesetze/KHSFV/24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