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KHSFV — Antragstellung</w:t>
      </w:r>
    </w:p>
    <w:p>
      <w:r>
        <w:rPr>
          <w:color w:val="555555"/>
          <w:sz w:val="18"/>
        </w:rPr>
        <w:t xml:space="preserve">Krankenhausstrukturfonds-Verordnung</w:t>
      </w:r>
    </w:p>
    <w:p>
      <w:r>
        <w:rPr>
          <w:color w:val="555555"/>
          <w:sz w:val="18"/>
        </w:rPr>
        <w:t xml:space="preserve">Stand: 29.12.2022 (konsolidierte Textfassung, kein amtliches Inkrafttretensdatum)</w:t>
      </w:r>
    </w:p>
    <w:p>
      <w:r>
        <w:t xml:space="preserve">(1) Die Länder können bis zum 31. Dezember 2021 Anträge auf Auszahlung von Fördermitteln nach § 14a Absatz 3 Satz 1 des Krankenhausfinanzierungsgesetzes aus dem Krankenhauszukunftsfonds an das Bundesamt für Soziale Sicherung stellen.</w:t>
      </w:r>
    </w:p>
    <w:p>
      <w:r>
        <w:t xml:space="preserve">(2) Dem Antrag sind die in § 4 Absatz 2 Satz 1 Nummer 1 und 2 genannten Unterlagen sowie die folgenden Unterlagen beizufügen:</w:t>
      </w:r>
    </w:p>
    <w:p>
      <w:pPr>
        <w:ind w:left="420"/>
      </w:pPr>
      <w:r>
        <w:t xml:space="preserve">1. die Erklärung des antragstellenden Landes zur Verpflichtung, die Voraussetzungen des § 14a Absatz 5 Nummer 3 des Krankenhausfinanzierungsgesetzes einzuhalten, sowie die Erklärung des antragstellenden Landes oder des Krankenhausträgers zur Verpflichtung, die Voraussetzungen des § 14a Absatz 5 Nummer 2 des Krankenhausfinanzierungsgesetzes einzuhalten,</w:t>
      </w:r>
    </w:p>
    <w:p>
      <w:pPr>
        <w:ind w:left="420"/>
      </w:pPr>
      <w:r>
        <w:t xml:space="preserve">2. bei den in § 19 Absatz 1 Satz 1 Nummer 1 bis 10 genannten Vorhaben Nachweise darüber, dass mindestens 15 Prozent der für das Vorhaben beantragten Fördermittel für technische und organisatorische Maßnahmen zur Verbesserung der Informationssicherheit eingesetzt werden, und Nachweise, um welche Maßnahmen zur Verbesserung der Informationssicherheit es sich handelt,</w:t>
      </w:r>
    </w:p>
    <w:p>
      <w:pPr>
        <w:ind w:left="420"/>
      </w:pPr>
      <w:r>
        <w:t xml:space="preserve">3. bei den in § 19 Absatz 1 Satz 1 Nummer 1 genannten Vorhaben Nachweise über die Anschaffung oder Anpassung von technischer Ausstattung oder Software und deren Anbindung an die Notaufnahme des Krankenhauses sowie über durchgeführte oder geplante Schulungen,</w:t>
      </w:r>
    </w:p>
    <w:p>
      <w:pPr>
        <w:ind w:left="420"/>
      </w:pPr>
      <w:r>
        <w:t xml:space="preserve">4. bei den in § 19 Absatz 1 Satz 1 Nummer 2 bis 6 genannten Vorhaben die Bestätigung des nach § 21 Absatz 5 berechtigten Mitarbeitenden des zu beauftragenden IT-Dienstleisters oder des zu beauftragenden Dienstleisters, dass das Vorhaben der Einrichtung eines digitalen Dienstes im Sinne des § 19 Absatz 1 Satz 1 Nummer 2 bis 6 dienen soll und die Voraussetzungen nach § 19 Absatz 2 erfüllt,</w:t>
      </w:r>
    </w:p>
    <w:p>
      <w:pPr>
        <w:ind w:left="420"/>
      </w:pPr>
      <w:r>
        <w:t xml:space="preserve">5. bei den in § 19 Absatz 1 Satz 1 Nummer 7 genannten Vorhaben die Bestätigung des antragstellenden Landes, dass das Konzept zur Abstimmung des Leistungsangebotes mehrerer Krankenhäuser wettbewerbsrechtlich zulässig ist,</w:t>
      </w:r>
    </w:p>
    <w:p>
      <w:pPr>
        <w:ind w:left="420"/>
      </w:pPr>
      <w:r>
        <w:t xml:space="preserve">6. bei den in § 19 Absatz 1 Satz 1 Nummer 8 genannten Vorhaben die Bestätigung des nach § 21 Absatz 5 berechtigten Mitarbeitenden des zu beauftragenden IT-Dienstleisters oder der zu beauftragenden Dienstleister, dass die technischen Voraussetzungen für die Anbindung und Nutzung des Systems gegeben sind,</w:t>
      </w:r>
    </w:p>
    <w:p>
      <w:pPr>
        <w:ind w:left="420"/>
      </w:pPr>
      <w:r>
        <w:t xml:space="preserve">7. bei den in § 19 Absatz 1 Satz 1 Nummer 9 genannten Vorhaben eine Bestätigung des Krankenhausträgers, dass die Dienste und Anwendungen der Telematikinfrastruktur nach dem Fünften Buch Sozialgesetzbuch verwendet werden, sobald diese zur Verfügung stehen und dass diese die Anforderungen nach § 19 Absatz 2 erfüllen,</w:t>
      </w:r>
    </w:p>
    <w:p>
      <w:pPr>
        <w:ind w:left="420"/>
      </w:pPr>
      <w:r>
        <w:t xml:space="preserve">8. bei den in § 19 Absatz 1 Satz 1 Nummer 10 genannten Vorhaben die Bestätigung des nach § 21 Absatz 5 berechtigten Mitarbeitenden des IT-Dienstleisters oder der zu beauftragenden Dienstleister, dass die Maßnahmen erforderlich sind, um die informationstechnischen Systeme des Krankenhauses an den Stand der Technik anzupassen,</w:t>
      </w:r>
    </w:p>
    <w:p>
      <w:pPr>
        <w:ind w:left="420"/>
      </w:pPr>
      <w:r>
        <w:t xml:space="preserve">9. bei den in § 19 Absatz 1 Satz 1 Nummer 11 genannten Vorhaben den Bescheid der für die Krankenhausplanung zuständigen Landesbehörde, aus dem sich die Verringerung der Betten, mit denen das Krankenhaus in den Krankenhausplan aufgenommen ist, ergibt,</w:t>
      </w:r>
    </w:p>
    <w:p>
      <w:pPr>
        <w:ind w:left="420"/>
      </w:pPr>
      <w:r>
        <w:t xml:space="preserve">10. bei den in § 19 Absatz 1 Satz 1 Nummer 2 bis 6, 8 und 10 genannten Vorhaben den Nachweis über die Berechtigung nach § 21 Absatz 5 Satz 1 der Mitarbeiterin oder des Mitarbeiters des zu beauftragenden IT-Dienstleisters, die oder der die Bestätigung nach Nummer 4, 6 oder 8 ausstellt; bei Anträgen, die vor der Bereitstellung des Schulungsprogramms nach § 21 Absatz 5 Satz 2 gestellt werden, ist der Nachweis unverzüglich nach der Bereitstellung des Schulungsprogramms nachzureichen,</w:t>
      </w:r>
    </w:p>
    <w:p>
      <w:pPr>
        <w:ind w:left="420"/>
      </w:pPr>
      <w:r>
        <w:t xml:space="preserve">11. die Berechnung des Barwerts nach § 20 Absatz 3 in Verbindung mit § 2 Absatz 3 Satz 3 einschließlich einer Erläuterung der zu Grunde gelegten versicherungsmathematischen Annahmen, wenn ein förderfähiges Vorhaben durch Aufnahme eines Darlehens des Krankenhausträgers finanziert werden soll, sowie</w:t>
      </w:r>
    </w:p>
    <w:p>
      <w:pPr>
        <w:ind w:left="420"/>
      </w:pPr>
      <w:r>
        <w:t xml:space="preserve">12. bei länderübergreifenden Vorhaben zusätzlich die Erklärung der beteiligten Länder,</w:t>
      </w:r>
    </w:p>
    <w:p>
      <w:pPr>
        <w:ind w:left="780"/>
      </w:pPr>
      <w:r>
        <w:t xml:space="preserve">a) in welchem Verhältnis sie den von ihnen nach § 14a Absatz 5 Nummer 2 des Krankenhausfinanzierungsgesetzes zu tragenden Anteil der förderungsfähigen Kosten zahlen,</w:t>
      </w:r>
    </w:p>
    <w:p>
      <w:pPr>
        <w:ind w:left="780"/>
      </w:pPr>
      <w:r>
        <w:t xml:space="preserve">b) in welchem Verhältnis die Fördermittel an sie auszuzahlen sind und</w:t>
      </w:r>
    </w:p>
    <w:p>
      <w:pPr>
        <w:ind w:left="780"/>
      </w:pPr>
      <w:r>
        <w:t xml:space="preserve">c) in welchem Verhältnis sie die zurückgeforderten Fördermittel erstatten.</w:t>
      </w:r>
    </w:p>
    <w:p>
      <w:r>
        <w:rPr>
          <w:color w:val="555555"/>
          <w:sz w:val="17"/>
        </w:rPr>
        <w:t xml:space="preserve">Zitiervorschlag: § 22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