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KHSFV — Förderungsfähige Kosten</w:t>
      </w:r>
    </w:p>
    <w:p>
      <w:r>
        <w:rPr>
          <w:color w:val="555555"/>
          <w:sz w:val="18"/>
        </w:rPr>
        <w:t xml:space="preserve">Krankenhausstrukturfonds-Verordnung</w:t>
      </w:r>
    </w:p>
    <w:p>
      <w:r>
        <w:rPr>
          <w:color w:val="555555"/>
          <w:sz w:val="18"/>
        </w:rPr>
        <w:t xml:space="preserve">Stand: 29.10.2020 (konsolidierte Textfassung, kein amtliches Inkrafttretensdatum)</w:t>
      </w:r>
    </w:p>
    <w:p>
      <w:r>
        <w:t xml:space="preserve">(1) Bei den in § 19 Absatz 1 genannten Vorhaben können folgende Kosten erstattet werden:</w:t>
      </w:r>
    </w:p>
    <w:p>
      <w:pPr>
        <w:ind w:left="420"/>
      </w:pPr>
      <w:r>
        <w:t xml:space="preserve">1. die Kosten für erforderliche technische und informationstechnische Maßnahmen einschließlich der Kosten für Beratungsleistungen bei der Planung des konkreten Vorhabens,</w:t>
      </w:r>
    </w:p>
    <w:p>
      <w:pPr>
        <w:ind w:left="420"/>
      </w:pPr>
      <w:r>
        <w:t xml:space="preserve">2. die Kosten für erforderliche personelle Maßnahmen einschließlich der Kosten für Schulungen der Mitarbeiterinnen und Mitarbeiter,</w:t>
      </w:r>
    </w:p>
    <w:p>
      <w:pPr>
        <w:ind w:left="420"/>
      </w:pPr>
      <w:r>
        <w:t xml:space="preserve">3. die Kosten für räumliche Maßnahmen, soweit sie für die technischen, informationstechnischen und personellen Maßnahmen erforderlich sind; bei den in § 19 Absatz 1 Satz 1 Nummer 1 bis 10 genannten Vorhaben dürfen die Kosten für räumliche Maßnahmen jedoch höchstens 10 Prozent der gewährten Fördermittel ausmachen und</w:t>
      </w:r>
    </w:p>
    <w:p>
      <w:pPr>
        <w:ind w:left="420"/>
      </w:pPr>
      <w:r>
        <w:t xml:space="preserve">4. die Kosten für die Beschaffung von Nachweisen nach § 25 Absatz 1 Nummer 2.</w:t>
      </w:r>
    </w:p>
    <w:p>
      <w:r>
        <w:t xml:space="preserve">(2) Bei den in § 19 Absatz 1 Satz 1 Nummer 7 genannten Vorhaben können bei erforderlichen technischen und informationstechnischen Maßnahmen insbesondere die Kosten für die Bereitstellung des Systems und für die Anbindung des Krankenhauses oder anderer Leistungserbringer an das System, einschließlich der für die Nutzung erforderlichen Software, erstattet werden. Bei den in § 19 Absatz 1 Satz 1 Nummer 9 und 10 genannten Vorhaben werden bei erforderlichen technischen und informationstechnischen Maßnahmen insbesondere die Kosten des Krankenhauses für die Beschaffung, Errichtung, Erweiterung oder Entwicklung informations- oder kommunikationstechnischer Anlagen erstattet. Die Kosten für die Errichtung nach Satz 2 umfassen auch die unmittelbaren Kosten der Krankenhäuser für die sichere Anbindung an die ambulante Einrichtung.</w:t>
      </w:r>
    </w:p>
    <w:p>
      <w:r>
        <w:t xml:space="preserve">(3) § 2 Absatz 3 Satz 2 und 3 und Absatz 4 gilt entsprechend.</w:t>
      </w:r>
    </w:p>
    <w:p>
      <w:r>
        <w:rPr>
          <w:color w:val="555555"/>
          <w:sz w:val="17"/>
        </w:rPr>
        <w:t xml:space="preserve">Zitiervorschlag: § 20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