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KHSFV — Förderungsfähige Kosten</w:t>
      </w:r>
    </w:p>
    <w:p>
      <w:r>
        <w:rPr>
          <w:color w:val="555555"/>
          <w:sz w:val="18"/>
        </w:rPr>
        <w:t xml:space="preserve">Krankenhausstrukturfonds-Verordnung</w:t>
      </w:r>
    </w:p>
    <w:p>
      <w:r>
        <w:rPr>
          <w:color w:val="555555"/>
          <w:sz w:val="18"/>
        </w:rPr>
        <w:t xml:space="preserve">Stand: 10.06.2019 (konsolidierte Textfassung, kein amtliches Inkrafttretensdatum)</w:t>
      </w:r>
    </w:p>
    <w:p>
      <w:r>
        <w:t xml:space="preserve">(1) Nicht förderungsfähig sind die Kosten, die auf andere als die in § 9 des Krankenhausfinanzierungsgesetzes genannten Fördertatbestände entfallen, sowie die vom Land zurückgeforderten Mittel der Investitionsförderung.</w:t>
      </w:r>
    </w:p>
    <w:p>
      <w:r>
        <w:t xml:space="preserve">(2) Gefördert werden können</w:t>
      </w:r>
    </w:p>
    <w:p>
      <w:pPr>
        <w:ind w:left="420"/>
      </w:pPr>
      <w:r>
        <w:t xml:space="preserve">1. bei Vorhaben nach § 1 Absatz 1 Nummer 1 die Kosten der Schließung eines Krankenhauses oder von Teilen des Krankenhauses,</w:t>
      </w:r>
    </w:p>
    <w:p>
      <w:pPr>
        <w:ind w:left="420"/>
      </w:pPr>
      <w:r>
        <w:t xml:space="preserve">2. bei Vorhaben nach § 1 Absatz 1 Nummer 2 und 3 die Kosten der Schließung eines Krankenhauses oder von Teilen des Krankenhauses sowie die Kosten für die erforderlichen Baumaßnahmen.</w:t>
      </w:r>
    </w:p>
    <w:p>
      <w:r>
        <w:t xml:space="preserve">(3) Förderungsfähig sind auch die Aufwendungen für Zinsen, Tilgung und Verwaltungskosten eines Darlehens, das ein Krankenhausträger zur Finanzierung eines förderungsfähigen Vorhabens aufgenommen hat. Als Förderbetrag kann der zum Zeitpunkt der Antragstellung ermittelte Barwert der Aufwendungen nach Satz 1 ausgezahlt werden, soweit diese in den ersten zehn Jahren nach Abschluss des Darlehens entstehen. Für die Berechnung des Barwerts sind die anerkannten Regeln der Versicherungsmathematik zum Berechnungszeitpunkt zu Grunde zu legen.</w:t>
      </w:r>
    </w:p>
    <w:p>
      <w:r>
        <w:t xml:space="preserve">(4) Fördermittel dürfen nur dem Förderzweck entsprechend verwendet werden. Es sind nur die Kosten zu berücksichtigen, die den Grundsätzen von Wirtschaftlichkeit und Sparsamkeit entsprechen.</w:t>
      </w:r>
    </w:p>
    <w:p>
      <w:r>
        <w:rPr>
          <w:color w:val="555555"/>
          <w:sz w:val="17"/>
        </w:rPr>
        <w:t xml:space="preserve">Zitiervorschlag: § 2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