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KHSFV — Förderungsfähige Vorhaben</w:t>
      </w:r>
    </w:p>
    <w:p>
      <w:r>
        <w:rPr>
          <w:color w:val="555555"/>
          <w:sz w:val="18"/>
        </w:rPr>
        <w:t xml:space="preserve">Krankenhausstrukturfonds-Verordnung</w:t>
      </w:r>
    </w:p>
    <w:p>
      <w:r>
        <w:rPr>
          <w:color w:val="555555"/>
          <w:sz w:val="18"/>
        </w:rPr>
        <w:t xml:space="preserve">Stand: 29.12.2022 (konsolidierte Textfassung, kein amtliches Inkrafttretensdatum)</w:t>
      </w:r>
    </w:p>
    <w:p>
      <w:r>
        <w:t xml:space="preserve">(1) Nach § 14a Absatz 2 Satz 1 des Krankenhausfinanzierungsgesetzes werden folgende Vorhaben, insbesondere zur Digitalisierung der Prozesse und Strukturen im Verlauf eines Krankenhausaufenthalts von Patientinnen und Patienten, gefördert:</w:t>
      </w:r>
    </w:p>
    <w:p>
      <w:pPr>
        <w:ind w:left="420"/>
      </w:pPr>
      <w:r>
        <w:t xml:space="preserve">1. die Anpassung der technischen und insbesondere der informationstechnischen Ausstattung der Notaufnahme eines Krankenhauses, das die Anforderungen des Beschlusses des Gemeinsamen Bundesausschusses nach § 136c Absatz 4 des Fünften Buches Sozialgesetzbuch für eine Teilnahme an der Basisnotfallversorgung, der erweiterten Notfallversorgung oder der umfassenden Notfallversorgung oder die Anforderungen für das Modul Notfallversorgung Kinder dieses Beschlusses erfüllt, an den jeweils aktuellen Stand der Technik,</w:t>
      </w:r>
    </w:p>
    <w:p>
      <w:pPr>
        <w:ind w:left="420"/>
      </w:pPr>
      <w:r>
        <w:t xml:space="preserve">2. die Einrichtung von Patientenportalen für ein digitales Aufnahme- und Entlassmanagement, die einen digitalen Informationsaustausch zwischen den Leistungserbringern und den Leistungsempfängern sowie zwischen den Leistungserbringern, den Pflege- oder Rehabilitationseinrichtungen und den Kostenträgern vor, während und nach der Behandlung im Krankenhaus ermöglichen,</w:t>
      </w:r>
    </w:p>
    <w:p>
      <w:pPr>
        <w:ind w:left="420"/>
      </w:pPr>
      <w:r>
        <w:t xml:space="preserve">3. die Einrichtung einer durchgehenden, strukturierten elektronischen Dokumentation von Pflege- und Behandlungsleistungen sowie die Einrichtung von Systemen, die eine automatisierte und sprachbasierte Dokumentation von Pflege- und Behandlungsleistungen unterstützen,</w:t>
      </w:r>
    </w:p>
    <w:p>
      <w:pPr>
        <w:ind w:left="420"/>
      </w:pPr>
      <w:r>
        <w:t xml:space="preserve">4. die Einrichtung teil- oder vollautomatisierter klinischer Entscheidungsunterstützungssysteme, die klinische Leistungserbringer mit dem Ziel der Steigerung der Versorgungsqualität bei Behandlungsentscheidungen durch automatisierte Hinweise und Empfehlungen unterstützen,</w:t>
      </w:r>
    </w:p>
    <w:p>
      <w:pPr>
        <w:ind w:left="420"/>
      </w:pPr>
      <w:r>
        <w:t xml:space="preserve">5. die Einrichtung eines durchgehenden digitalen Medikationsmanagements zur Erhöhung der Arzneimitteltherapiesicherheit, das Informationen zu sämtlichen arzneibezogenen Behandlungen über den gesamten Behandlungsprozess im Krankenhaus zur Verfügung stellt; zu diesen Einrichtungen zählen auch robotikbasierte Stellsysteme zur Ausgabe von Medikation,</w:t>
      </w:r>
    </w:p>
    <w:p>
      <w:pPr>
        <w:ind w:left="420"/>
      </w:pPr>
      <w:r>
        <w:t xml:space="preserve">6. die Einrichtung eines krankenhausinternen digitalen Prozesses zur Anforderung von Leistungen, der sowohl die Leistungsanforderung als auch die Rückmeldung zum Verlauf der Behandlung der Patientinnen und Patienten in elektronischer Form mit dem Ziel ermöglicht, die krankenhausinternen Kommunikationsprozesse zu beschleunigen,</w:t>
      </w:r>
    </w:p>
    <w:p>
      <w:pPr>
        <w:ind w:left="420"/>
      </w:pPr>
      <w:r>
        <w:t xml:space="preserve">7. wettbewerbsrechtlich zulässige Maßnahmen, die zur Abstimmung des Leistungsangebots mehrerer Krankenhäuser erforderlich sind, eine ausgewogene gemeinsame Angebotsstruktur, die eine flächendeckende Versorgung sicherstellt und Spezialisierung ermöglicht, zu entwickeln; zu den Maßnahmen zählt auch die Bereitstellung von sicheren Systemen, die IT-Infrastrukturen über ein Servernetz zur Verfügung stellen, ohne dass diese auf dem lokalen Server installiert sind (Cloud-Computing-Systeme),</w:t>
      </w:r>
    </w:p>
    <w:p>
      <w:pPr>
        <w:ind w:left="420"/>
      </w:pPr>
      <w:r>
        <w:t xml:space="preserve">8. die Einführung und Weiterentwicklung eines onlinebasierten Versorgungsnachweissystems für Betten zur Verbesserung der Zusammenarbeit zwischen Krankenhäusern und anderen Versorgungsbereichen,</w:t>
      </w:r>
    </w:p>
    <w:p>
      <w:pPr>
        <w:ind w:left="420"/>
      </w:pPr>
      <w:r>
        <w:t xml:space="preserve">9. die Beschaffung, Errichtung, Erweiterung oder Entwicklung informationstechnischer, kommunikationstechnischer und robotikbasierter Anlagen, Systeme oder Verfahren oder räumlicher Maßnahmen, die erforderlich sind, um Ärztinnen und Ärzte bei der Behandlung von Patientinnen und Patienten, insbesondere im Rahmen von Operationen, zu unterstützen oder um telemedizinische Netzwerkstrukturen zwischen Krankenhäusern oder zwischen Krankenhäusern und ambulanten Einrichtungen aufzubauen und den Einsatz telemedizinischer Verfahren in der stationären Versorgung von Patientinnen und Patienten zu ermöglichen,</w:t>
      </w:r>
    </w:p>
    <w:p>
      <w:pPr>
        <w:ind w:left="420"/>
      </w:pPr>
      <w:r>
        <w:t xml:space="preserve">10. die Beschaffung, Errichtung, Erweiterung oder Entwicklung informationstechnischer oder kommunikationstechnischer Anlagen, Systeme oder Verfahren, um die nach dem Stand der Technik angemessenen organisatorischen und technischen Vorkehrungen zur Vermeidung von Störungen der Verfügbarkeit, der Integrität und der Vertraulichkeit der informationstechnischen Systeme, Komponenten oder Prozesse des Krankenhausträgers zu treffen, die für die Funktionsfähigkeit des jeweiligen Krankenhauses und die Sicherheit der verarbeiteten Patienteninformationen maßgeblich sind, wenn das Vorhaben nicht nach § 12a Absatz 1 Satz 4 Nummer 3 des Krankenhausfinanzierungsgesetzes in Verbindung mit § 11 Absatz 1 Nummer 4 Buchstabe a förderfähig ist, sowie</w:t>
      </w:r>
    </w:p>
    <w:p>
      <w:pPr>
        <w:ind w:left="420"/>
      </w:pPr>
      <w:r>
        <w:t xml:space="preserve">11. Vorhaben zur Anpassung von Patientenzimmern an die besonderen Behandlungserfordernisse im Fall einer Epidemie, insbesondere durch Umwandlung von Zimmern mit mehr als zwei Betten in Ein- oder Zweibettzimmer, sofern das Vorhaben zu einer entsprechenden Verringerung der Zahl der krankenhausplanerisch festgesetzten Betten führt.</w:t>
      </w:r>
    </w:p>
    <w:p>
      <w:r>
        <w:t xml:space="preserve">Vorhaben an Hochschulkliniken und Vorhaben, an denen Hochschulkliniken beteiligt sind, sind förderfähig. Für Vorhaben nach Satz 2 dürfen maximal 10 Prozent der nach § 14a Absatz 3 Satz 1 des Krankenhausfinanzierungsgesetzes zustehenden Mittel verwendet werden.</w:t>
      </w:r>
    </w:p>
    <w:p>
      <w:r>
        <w:t xml:space="preserve">(2) Die in Absatz 1 Satz 1 Nummer 2 bis 6 und 9 genannten Vorhaben werden nur gefördert, wenn</w:t>
      </w:r>
    </w:p>
    <w:p>
      <w:pPr>
        <w:ind w:left="420"/>
      </w:pPr>
      <w:r>
        <w:t xml:space="preserve">1. international anerkannte technische, syntaktische und semantische Standards zur Herstellung einer durchgehenden einrichtungsinternen und einrichtungsexternen Interoperabilität digitaler Dienste verwendet werden,</w:t>
      </w:r>
    </w:p>
    <w:p>
      <w:pPr>
        <w:ind w:left="420"/>
      </w:pPr>
      <w:r>
        <w:t xml:space="preserve">2. sie die Vorgaben zur Integration offener und standardisierter Schnittstellen nach Maßgabe von § 371 des Fünften Buches Sozialgesetzbuch berücksichtigen,</w:t>
      </w:r>
    </w:p>
    <w:p>
      <w:pPr>
        <w:ind w:left="420"/>
      </w:pPr>
      <w:r>
        <w:t xml:space="preserve">3. generierte, für Patientinnen und Patienten relevante Dokumente und Daten in die elektronische Patientenakte übertragbar sind,</w:t>
      </w:r>
    </w:p>
    <w:p>
      <w:pPr>
        <w:ind w:left="420"/>
      </w:pPr>
      <w:r>
        <w:t xml:space="preserve">4. Maßnahmen zur Gewährleistung der Informationssicherheit nach dem jeweiligen Stand der Technik durchgehend berücksichtigt werden und</w:t>
      </w:r>
    </w:p>
    <w:p>
      <w:pPr>
        <w:ind w:left="420"/>
      </w:pPr>
      <w:r>
        <w:t xml:space="preserve">5. datenschutzrechtliche Vorschriften eingehalten werden.</w:t>
      </w:r>
    </w:p>
    <w:p>
      <w:r>
        <w:t xml:space="preserve">(3) Bei den Vorhaben nach Absatz 1 Satz 1 Nummer 2 bis 6 und 9 sind im Rahmen der geförderten Strukturen Dienste und Anwendungen der Telematikinfrastruktur nach dem Fünften Buch Sozialgesetzbuch zu nutzen, sobald diese zur Verfügung stehen.</w:t>
      </w:r>
    </w:p>
    <w:p>
      <w:r>
        <w:rPr>
          <w:color w:val="555555"/>
          <w:sz w:val="17"/>
        </w:rPr>
        <w:t xml:space="preserve">Zitiervorschlag: § 19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