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KHSFV — Beteiligung der privaten Krankenversicherung</w:t>
      </w:r>
    </w:p>
    <w:p>
      <w:r>
        <w:rPr>
          <w:color w:val="555555"/>
          <w:sz w:val="18"/>
        </w:rPr>
        <w:t xml:space="preserve">Krankenhausstrukturfonds-Verordnung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Im Fall einer Beteiligung der privaten Krankenversicherung an der Förderung nach § 12a Absatz 1 Satz 2 des Krankenhausfinanzierungsgesetzes sind diese Mittel dem Strukturfonds zuzuführen. Das Nähere über die Zahlung, Rückzahlung und Abrechnung des Finanzierungsanteils vereinbart das Bundesamt für Soziale Sicherung mit dem Verband der privaten Krankenversicherungen.</w:t>
      </w:r>
    </w:p>
    <w:p>
      <w:r>
        <w:rPr>
          <w:color w:val="555555"/>
          <w:sz w:val="17"/>
        </w:rPr>
        <w:t xml:space="preserve">Zitiervorschlag: § 18 KHSFV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https://recht.nulegal.eu/gesetze/KHSFV/18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