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KHSFV — Rückforderung, Verzinsung und Bewirtschaftung von Fördermitteln</w:t>
      </w:r>
    </w:p>
    <w:p>
      <w:r>
        <w:rPr>
          <w:color w:val="555555"/>
          <w:sz w:val="18"/>
        </w:rPr>
        <w:t xml:space="preserve">Krankenhausstrukturfonds-Verordnung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Das Bundesamt für Soziale Sicherung macht Rückforderungsansprüche gegenüber den Ländern durch Bescheid geltend, soweit einer der in § 15 Absatz 2 genannten Sachverhalte eingetreten ist. Bei länderübergreifenden Vorhaben sind Rückforderungsansprüche nur gegenüber dem beteiligten Land geltend zu machen, bei dem der die Rückforderung begründende Sachverhalt eingetreten ist. Im Übrigen gilt § 7 Absatz 1 und 2 Satz 2 und 3 sowie Absatz 3 entsprechend.</w:t>
      </w:r>
    </w:p>
    <w:p>
      <w:r>
        <w:t xml:space="preserve">(2) Für die Bewirtschaftung der Fördermittel gilt § 9 entsprechend.</w:t>
      </w:r>
    </w:p>
    <w:p>
      <w:r>
        <w:rPr>
          <w:color w:val="555555"/>
          <w:sz w:val="17"/>
        </w:rPr>
        <w:t xml:space="preserve">Zitiervorschlag: § 16 KHSFV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