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KHSFV — Antragstellung</w:t>
      </w:r>
    </w:p>
    <w:p>
      <w:r>
        <w:rPr>
          <w:color w:val="555555"/>
          <w:sz w:val="18"/>
        </w:rPr>
        <w:t xml:space="preserve">Krankenhausstrukturfonds-Verordnung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Die Länder können bis zum 31. Dezember 2025 Anträge an das Bundesversicherungsamt auf Auszahlung von Fördermitteln nach § 12a des Krankenhausfinanzierungsgesetzes aus dem Strukturfonds stellen.</w:t>
      </w:r>
    </w:p>
    <w:p>
      <w:r>
        <w:t xml:space="preserve">(2) Dem Antrag sind die in § 4 Absatz 2 Satz 1 Nummer 1, 2 und 7 genannten Unterlagen sowie darüber hinaus folgende Unterlagen beizufügen:</w:t>
      </w:r>
    </w:p>
    <w:p>
      <w:pPr>
        <w:ind w:left="420"/>
      </w:pPr>
      <w:r>
        <w:t xml:space="preserve">1. die Erklärung zur Verpflichtung, die Voraussetzungen des § 12a Absatz 3 Satz 1 Nummer 3 des Krankenhausfinanzierungsgesetzes einzuhalten,</w:t>
      </w:r>
    </w:p>
    <w:p>
      <w:pPr>
        <w:ind w:left="420"/>
      </w:pPr>
      <w:r>
        <w:t xml:space="preserve">2. bei Vorhaben nach § 11 Absatz 1 Nummer 1 die Bestätigung, dass</w:t>
      </w:r>
    </w:p>
    <w:p>
      <w:pPr>
        <w:ind w:left="780"/>
      </w:pPr>
      <w:r>
        <w:t xml:space="preserve">a) die stillgelegte Versorgungsfunktion durch Krankenhäuser in erreichbarer Nähe sichergestellt ist,</w:t>
      </w:r>
    </w:p>
    <w:p>
      <w:pPr>
        <w:ind w:left="780"/>
      </w:pPr>
      <w:r>
        <w:t xml:space="preserve">b) der betroffene Krankenhausträger gegenüber dem antragstellenden Land auf Grund der Schließung nicht zur Rückzahlung von Mitteln für die Investitionsfinanzierung verpflichtet ist,</w:t>
      </w:r>
    </w:p>
    <w:p>
      <w:pPr>
        <w:ind w:left="420"/>
      </w:pPr>
      <w:r>
        <w:t xml:space="preserve">3. bei allen Vorhaben nach § 11 Absatz 1 Nummer 2 die Bestätigung,</w:t>
      </w:r>
    </w:p>
    <w:p>
      <w:pPr>
        <w:ind w:left="780"/>
      </w:pPr>
      <w:r>
        <w:t xml:space="preserve">a) dass die Konzentration von akutstationären Versorgungskapazitäten wettbewerbsrechtlich zulässig ist,</w:t>
      </w:r>
    </w:p>
    <w:p>
      <w:pPr>
        <w:ind w:left="780"/>
      </w:pPr>
      <w:r>
        <w:t xml:space="preserve">b) der betroffene Krankenhausträger gegenüber dem antragstellenden Land auf Grund des Vorhabens nicht zur Rückzahlung von Mitteln für die Investitionsfinanzierung verpflichtet ist,</w:t>
      </w:r>
    </w:p>
    <w:p>
      <w:pPr>
        <w:ind w:left="420"/>
      </w:pPr>
      <w:r>
        <w:t xml:space="preserve">4. bei Vorhaben nach § 11 Absatz 1 Nummer 2 Buchstabe a zusätzlich die Bestätigung, dass für die betroffenen akutstationären Versorgungskapazitäten Mindestmengen oder Mindestfallzahlen bestehen,</w:t>
      </w:r>
    </w:p>
    <w:p>
      <w:pPr>
        <w:ind w:left="420"/>
      </w:pPr>
      <w:r>
        <w:t xml:space="preserve">5. bei Vorhaben nach § 11 Absatz 1 Nummer 2 Buchstabe b zusätzlich die Bestätigung, dass es sich bei den betroffenen akutstationären Versorgungskapazitäten um Versorgungseinrichtungen zur Behandlung seltener Erkrankungen handelt,</w:t>
      </w:r>
    </w:p>
    <w:p>
      <w:pPr>
        <w:ind w:left="420"/>
      </w:pPr>
      <w:r>
        <w:t xml:space="preserve">6. bei Vorhaben nach § 11 Absatz 1 Nummer 2 Buchstabe c zusätzlich die Bestätigung, dass die beteiligten Krankenhäuser eine dauerhafte Zusammenarbeit im Rahmen eines Krankenhausverbunds vereinbart haben,</w:t>
      </w:r>
    </w:p>
    <w:p>
      <w:pPr>
        <w:ind w:left="420"/>
      </w:pPr>
      <w:r>
        <w:t xml:space="preserve">7. bei Vorhaben nach § 11 Absatz 1 Nummer 3 Buchstabe b die Erklärung, dass die mit der Umwandlung beabsichtigte Nachfolgenutzung in Übereinstimmung mit den maßgeblichen rechtlichen Vorgaben steht,</w:t>
      </w:r>
    </w:p>
    <w:p>
      <w:pPr>
        <w:ind w:left="420"/>
      </w:pPr>
      <w:r>
        <w:t xml:space="preserve">8. bei Vorhaben nach § 11 Absatz 1 Nummer 4 Buchstabe a die Bestätigung, dass die vorgesehenen Maßnahmen erforderlich sind, um die Informationstechnik des Krankenhauses an die Anforderungen der §§ 30, 31 und 39 des BSI-Gesetzes anzupassen,</w:t>
      </w:r>
    </w:p>
    <w:p>
      <w:pPr>
        <w:ind w:left="420"/>
      </w:pPr>
      <w:r>
        <w:t xml:space="preserve">9. bei Vorhaben nach § 11 Absatz 1 Nummer 4 Buchstabe b die Bestätigung, dass die vorhandenen Dienste und Anwendungen der Telematikinfrastruktur nach dem Fünften Buch Sozialgesetzbuch genutzt werden, sobald diese zur Verfügung stehen,</w:t>
      </w:r>
    </w:p>
    <w:p>
      <w:pPr>
        <w:ind w:left="420"/>
      </w:pPr>
      <w:r>
        <w:t xml:space="preserve">10. die Berechnung des Barwerts nach § 12 Absatz 3 in Verbindung mit § 2 Absatz 3 Satz 3 einschließlich einer Erläuterung der zu Grunde gelegten versicherungsmathematischen Annahmen, wenn ein förderfähiges Vorhaben durch Aufnahme eines Darlehens des Krankenhausträgers finanziert werden soll,</w:t>
      </w:r>
    </w:p>
    <w:p>
      <w:pPr>
        <w:ind w:left="420"/>
      </w:pPr>
      <w:r>
        <w:t xml:space="preserve">11. bei länderübergreifenden Vorhaben zusätzlich die Erklärung,</w:t>
      </w:r>
    </w:p>
    <w:p>
      <w:pPr>
        <w:ind w:left="780"/>
      </w:pPr>
      <w:r>
        <w:t xml:space="preserve">a) in welchem Umfang die beteiligten Länder jeweils die Kosten des Vorhabens nach § 12a Absatz 3 Satz 1 Nummer 2 des Krankenhausfinanzierungsgesetzes tragen,</w:t>
      </w:r>
    </w:p>
    <w:p>
      <w:pPr>
        <w:ind w:left="780"/>
      </w:pPr>
      <w:r>
        <w:t xml:space="preserve">b) in welchem Verhältnis die Fördermittel an die beteiligten Länder auszuzahlen sind,</w:t>
      </w:r>
    </w:p>
    <w:p>
      <w:pPr>
        <w:ind w:left="780"/>
      </w:pPr>
      <w:r>
        <w:t xml:space="preserve">c) in welchem Umfang die beteiligten Länder den ihnen zustehenden Anteil nach § 12a Absatz 2 Satz 1 des Krankenhausfinanzierungsgesetzes in Anspruch nehmen und</w:t>
      </w:r>
    </w:p>
    <w:p>
      <w:pPr>
        <w:ind w:left="780"/>
      </w:pPr>
      <w:r>
        <w:t xml:space="preserve">d) in welchem Umfang die beteiligten Länder jeweils zurückzuzahlende Beträge aufbringen würden.</w:t>
      </w:r>
    </w:p>
    <w:p>
      <w:r>
        <w:rPr>
          <w:color w:val="555555"/>
          <w:sz w:val="17"/>
        </w:rPr>
        <w:t xml:space="preserve">Zitiervorschlag: § 14 KHSFV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https://recht.nulegal.eu/gesetze/KHSFV/14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