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KHSFV — Förderungsfähige Kosten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Gefördert werden können</w:t>
      </w:r>
    </w:p>
    <w:p>
      <w:pPr>
        <w:ind w:left="420"/>
      </w:pPr>
      <w:r>
        <w:t xml:space="preserve">1. bei Vorhaben nach § 11 Absatz 1 Nummer 1 die Kosten für eine Verminderung der Zahl der krankenhausplanerisch festgesetzten Betten des Krankenhauses mit</w:t>
      </w:r>
    </w:p>
    <w:p>
      <w:pPr>
        <w:ind w:left="780"/>
      </w:pPr>
      <w:r>
        <w:t xml:space="preserve">a) 4 500 Euro je Bett bei einer Verminderung um 11 bis 30 Betten,</w:t>
      </w:r>
    </w:p>
    <w:p>
      <w:pPr>
        <w:ind w:left="780"/>
      </w:pPr>
      <w:r>
        <w:t xml:space="preserve">b) 6 000 Euro je Bett bei einer Verminderung um 31 bis 60 Betten,</w:t>
      </w:r>
    </w:p>
    <w:p>
      <w:pPr>
        <w:ind w:left="780"/>
      </w:pPr>
      <w:r>
        <w:t xml:space="preserve">c) 8 500 Euro je Bett bei einer Verminderung um 61 bis 90 Betten,</w:t>
      </w:r>
    </w:p>
    <w:p>
      <w:pPr>
        <w:ind w:left="780"/>
      </w:pPr>
      <w:r>
        <w:t xml:space="preserve">d) 12 000 Euro je Bett bei einer Verminderung um mehr als 90 Betten,</w:t>
      </w:r>
    </w:p>
    <w:p>
      <w:pPr>
        <w:ind w:left="420"/>
      </w:pPr>
      <w:r>
        <w:t xml:space="preserve">höchstens jedoch jeweils in Höhe der tatsächlich entstehenden Kosten, bei vollständiger Schließung eines Krankenhauses oder eines Krankenhausstandorts die Kosten der Schließung,</w:t>
      </w:r>
    </w:p>
    <w:p>
      <w:pPr>
        <w:ind w:left="420"/>
      </w:pPr>
      <w:r>
        <w:t xml:space="preserve">2. bei Vorhaben nach § 11 Absatz 1 Nummer 2, 3 und 5 die Kosten für die Schließung eines Krankenhauses oder von Teilen eines Krankenhauses sowie die Kosten für die erforderlichen Baumaßnahmen,</w:t>
      </w:r>
    </w:p>
    <w:p>
      <w:pPr>
        <w:ind w:left="420"/>
      </w:pPr>
      <w:r>
        <w:t xml:space="preserve">3. bei Vorhaben nach § 11 Absatz 1 Nummer 2, die die in § 11 Absatz 1 Nummer 2 Buchstabe a bis c genannten Voraussetzungen nicht erfüllen, gilt Nummer 1 entsprechend; ist eine vollständige Schließung eines Krankenhauses oder eines Krankenhausstandorts Bestandteil des Vorhabens, auch die Kosten für die erforderlichen Baumaßnahmen,</w:t>
      </w:r>
    </w:p>
    <w:p>
      <w:pPr>
        <w:ind w:left="420"/>
      </w:pPr>
      <w:r>
        <w:t xml:space="preserve">4. bei Vorhaben nach § 11 Absatz 1 Nummer 4 die Kosten für die Beschaffung, Errichtung, Erweiterung oder Entwicklung informations- oder kommunikationstechnischer Anlagen, die Kosten für die erforderlichen baulichen Maßnahmen und die Kosten für die erforderlichen personellen Maßnahmen einschließlich der Kosten für die Schulungen der Mitarbeiterinnen und Mitarbeiter; für bauliche Maßnahmen dürfen nur 10 Prozent der beantragten Fördermittel verwendet werden,</w:t>
      </w:r>
    </w:p>
    <w:p>
      <w:pPr>
        <w:ind w:left="420"/>
      </w:pPr>
      <w:r>
        <w:t xml:space="preserve">5. bei Vorhaben nach § 11 Absatz 1 Nummer 6 die Kosten für die erforderlichen Baumaßnahmen und die Kosten für die erstmalige Ausstattung der Ausbildungsstätten.</w:t>
      </w:r>
    </w:p>
    <w:p>
      <w:r>
        <w:t xml:space="preserve">(2) § 2 Absatz 1 gilt entsprechend mit der Maßgabe, dass auch die Kosten für die Aufrechterhaltung des Gebäude- und Anlagenbetriebs nach Stilllegung akutstationärer Versorgungskapazitäten nicht förderungsfähig sind, soweit es sich nicht um unvermeidbare Kosten für die Abwicklung von Verträgen handelt.</w:t>
      </w:r>
    </w:p>
    <w:p>
      <w:r>
        <w:t xml:space="preserve">(3) § 2 Absatz 3 und 4 gilt entsprechend.</w:t>
      </w:r>
    </w:p>
    <w:p>
      <w:r>
        <w:rPr>
          <w:color w:val="555555"/>
          <w:sz w:val="17"/>
        </w:rPr>
        <w:t xml:space="preserve">Zitiervorschlag: § 12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