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KHSFV — Beteiligung der privaten Krankenversicherung</w:t>
      </w:r>
    </w:p>
    <w:p>
      <w:r>
        <w:rPr>
          <w:color w:val="555555"/>
          <w:sz w:val="18"/>
        </w:rPr>
        <w:t xml:space="preserve">Krankenhausstrukturfonds-Verordnung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Im Fall einer finanziellen Beteiligung der privaten Krankenversicherung an der Förderung nach § 12 Absatz 1 Satz 2 des Krankenhausfinanzierungsgesetzes sind diese Mittel dem Strukturfonds zuzuführen. Das Nähere über die Zahlung und Abrechnung des Finanzierungsanteils vereinbart das Bundesamt für Soziale Sicherung mit dem Verband der privaten Krankenversicherungen.</w:t>
      </w:r>
    </w:p>
    <w:p>
      <w:r>
        <w:rPr>
          <w:color w:val="555555"/>
          <w:sz w:val="17"/>
        </w:rPr>
        <w:t xml:space="preserve">Zitiervorschlag: § 10 KHSFV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