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KHSFV — Förderungsfähige Vorhaben</w:t>
      </w:r>
    </w:p>
    <w:p>
      <w:r>
        <w:rPr>
          <w:color w:val="555555"/>
          <w:sz w:val="18"/>
        </w:rPr>
        <w:t xml:space="preserve">Krankenhausstrukturfonds-Verordnung</w:t>
      </w:r>
    </w:p>
    <w:p>
      <w:r>
        <w:rPr>
          <w:color w:val="555555"/>
          <w:sz w:val="18"/>
        </w:rPr>
        <w:t xml:space="preserve">Stand: 10.06.2019 (konsolidierte Textfassung, kein amtliches Inkrafttretensdatum)</w:t>
      </w:r>
    </w:p>
    <w:p>
      <w:r>
        <w:t xml:space="preserve">(1) Ein Vorhaben wird nach § 12 Absatz 1 des Krankenhausfinanzierungsgesetzes gefördert, wenn</w:t>
      </w:r>
    </w:p>
    <w:p>
      <w:pPr>
        <w:ind w:left="420"/>
      </w:pPr>
      <w:r>
        <w:t xml:space="preserve">1. ein Krankenhaus oder Teile von akutstationären Versorgungseinrichtungen eines Krankenhauses dauerhaft geschlossen werden, insbesondere wenn ein Standort, eine unselbständige Betriebsstätte oder eine Fachrichtung, mindestens aber eine Abteilung eines Krankenhauses geschlossen wird,</w:t>
      </w:r>
    </w:p>
    <w:p>
      <w:pPr>
        <w:ind w:left="420"/>
      </w:pPr>
      <w:r>
        <w:t xml:space="preserve">2. akutstationäre Versorgungskapazitäten, insbesondere Fachrichtungen mehrerer Krankenhäuser, standortübergreifend konzentriert werden, soweit in den beteiligten Krankenhäusern jeweils mindestens eine Abteilung betroffen ist und das Vorhaben insgesamt zu einem Abbau von Versorgungskapazitäten oder zur Verminderung von Vorhaltungsaufwand führt, oder</w:t>
      </w:r>
    </w:p>
    <w:p>
      <w:pPr>
        <w:ind w:left="420"/>
      </w:pPr>
      <w:r>
        <w:t xml:space="preserve">3. ein Krankenhaus oder Teile von akutstationären Versorgungseinrichtungen eines Krankenhauses, insbesondere ein Standort, eine unselbständige Betriebsstätte oder eine Fachrichtung, mindestens aber eine Abteilung eines Krankenhauses, umgewandelt werden in</w:t>
      </w:r>
    </w:p>
    <w:p>
      <w:pPr>
        <w:ind w:left="780"/>
      </w:pPr>
      <w:r>
        <w:t xml:space="preserve">a) eine bedarfsnotwendige andere Fachrichtung oder</w:t>
      </w:r>
    </w:p>
    <w:p>
      <w:pPr>
        <w:ind w:left="780"/>
      </w:pPr>
      <w:r>
        <w:t xml:space="preserve">b) eine nicht akutstationäre Versorgungseinrichtung, insbesondere in eine Einrichtung der ambulanten, der sektorenübergreifenden oder der palliativen Versorgung, in eine stationäre Pflegeeinrichtung oder in eine Einrichtung der stationären Rehabilitation.</w:t>
      </w:r>
    </w:p>
    <w:p>
      <w:r>
        <w:t xml:space="preserve">(2) Voraussetzung für eine Förderung ist, dass die Umsetzung des Vorhabens am 1. Januar 2016 noch nicht begonnen hat. Als Vorhabenbeginn gilt der Abschluss eines der Ausführung zuzurechnenden Liefer-, Dienstleistungs- oder Werkvertrags. Im Fall von Baumaßnahmen gelten Planungen und Baugrunduntersuchungen nicht als Beginn des Vorhabens. Einzelne Vorhaben, die selbständige Abschnitte eines vor dem 1. Januar 2016 begonnenen Gesamtvorhabens darstellen, können gefördert werden, wenn sie nach dem 1. Januar 2016 begonnen werden und die Voraussetzungen des Absatzes 1 erfüllen.</w:t>
      </w:r>
    </w:p>
    <w:p>
      <w:r>
        <w:t xml:space="preserve">(3) Nicht gefördert werden Vorhaben nach Absatz 1 Nummer 1, wenn ein zeitlicher und örtlicher Zusammenhang mit dem Aufbau von Behandlungsplätzen oder der Neuaufnahme entsprechender Fachrichtungen an anderen Krankenhäusern besteht.</w:t>
      </w:r>
    </w:p>
    <w:p>
      <w:r>
        <w:rPr>
          <w:color w:val="555555"/>
          <w:sz w:val="17"/>
        </w:rPr>
        <w:t xml:space="preserve">Zitiervorschlag: § 1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