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KHNG — Inkrafttreten, Außerkrafttreten von Vorschriften</w:t>
      </w:r>
    </w:p>
    <w:p>
      <w:r>
        <w:rPr>
          <w:color w:val="555555"/>
          <w:sz w:val="18"/>
        </w:rPr>
        <w:t xml:space="preserve">Krankenhaus-Neuordnungsgesetz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der in Absatz 2 genannten Vorschriften am 1. Januar 1985 in Kraft.</w:t>
      </w:r>
    </w:p>
    <w:p>
      <w:r>
        <w:t xml:space="preserve">(2)</w:t>
      </w:r>
    </w:p>
    <w:p>
      <w:r>
        <w:t xml:space="preserve">(3)</w:t>
      </w:r>
    </w:p>
    <w:p>
      <w:r>
        <w:t xml:space="preserve">(4) Die Übergangsregelungen des Artikels 1 Nr. 27 (§ 29 des Krankenhausfinanzierungsgesetzes) bleiben unberührt.</w:t>
      </w:r>
    </w:p>
    <w:p>
      <w:r>
        <w:rPr>
          <w:color w:val="555555"/>
          <w:sz w:val="17"/>
        </w:rPr>
        <w:t xml:space="preserve">Zitiervorschlag: Art 7 KHNG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https://recht.nulegal.eu/gesetze/KHNG/7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