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KHNG</w:t>
      </w:r>
    </w:p>
    <w:p>
      <w:r>
        <w:rPr>
          <w:color w:val="555555"/>
          <w:sz w:val="18"/>
        </w:rPr>
        <w:t xml:space="preserve">Krankenhaus-Neuordnungsgesetz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1. 2. 3.</w:t>
      </w:r>
    </w:p>
    <w:p>
      <w:pPr>
        <w:ind w:left="420"/>
      </w:pPr>
      <w:r>
        <w:t xml:space="preserve">4. (1)(2) Die auf Absatz 1 beruhenden Teile der Aufwendungserstattungs-Verordnung können auf Grund des § 10 Abs. 2 des Gesetzes über die Sozialversicherung Behinderter in geschützten Einrichtungen (Artikel 1 des Gesetzes vom 7. Mai 1975, BGBl. I S. 1061), das zuletzt durch Artikel 7 des Gesetzes vom 22. Dezember 1983 (BGBl. I S. 1532) geändert worden ist, in Verbindung mit diesem Absatz durch Rechtsverordnung geändert werden.</w:t>
      </w:r>
    </w:p>
    <w:p>
      <w:r>
        <w:rPr>
          <w:color w:val="555555"/>
          <w:sz w:val="17"/>
        </w:rPr>
        <w:t xml:space="preserve">Zitiervorschlag: Art 2 KHNG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