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KHKapSurV</w:t>
      </w:r>
    </w:p>
    <w:p>
      <w:r>
        <w:rPr>
          <w:color w:val="555555"/>
          <w:sz w:val="18"/>
        </w:rPr>
        <w:t xml:space="preserve">Verordnung zur Krankenhauskapazitätssurveillance</w:t>
      </w:r>
    </w:p>
    <w:p>
      <w:r>
        <w:rPr>
          <w:color w:val="555555"/>
          <w:sz w:val="18"/>
        </w:rPr>
        <w:t xml:space="preserve">Stand: 20.09.2022 (konsolidierte Textfassung, kein amtliches Inkrafttretensdatum)</w:t>
      </w:r>
    </w:p>
    <w:p>
      <w:r>
        <w:t xml:space="preserve">Das Bundesministerium für Gesundheit verordnet auf Grund des § 13 Absatz 7 Satz 4 Nummer 1, 2, 4 und 5 des Infektionsschutzgesetzes, der durch Artikel 1 Nummer 8 Buchstabe c des Gesetzes vom 16. September 2022 (BGBl. I S. 1454) eingefügt worden ist:</w:t>
      </w:r>
    </w:p>
    <w:p>
      <w:r>
        <w:rPr>
          <w:color w:val="555555"/>
          <w:sz w:val="17"/>
        </w:rPr>
        <w:t xml:space="preserve">Zitiervorschlag: Eingangsformel KHKapSurV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https://recht.nulegal.eu/gesetze/KHKapSurV/eingangsformel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