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KHKapSurV — Angaben für die Ermittlung intensivmedizinischer Behandlungskapazitäten</w:t>
      </w:r>
    </w:p>
    <w:p>
      <w:r>
        <w:rPr>
          <w:color w:val="555555"/>
          <w:sz w:val="18"/>
        </w:rPr>
        <w:t xml:space="preserve">Verordnung zur Krankenhauskapazitätssurveillance</w:t>
      </w:r>
    </w:p>
    <w:p>
      <w:r>
        <w:rPr>
          <w:color w:val="555555"/>
          <w:sz w:val="18"/>
        </w:rPr>
        <w:t xml:space="preserve">Stand: 26.11.2022 (konsolidierte Textfassung, kein amtliches Inkrafttretensdatum)</w:t>
      </w:r>
    </w:p>
    <w:p>
      <w:r>
        <w:t xml:space="preserve">(1) Zur Ermittlung der intensivmedizinischen Behandlungskapazitäten sind als erforderliche Angaben im Sinne von § 13 Absatz 7 Satz 4 Nummer 2 des Infektionsschutzgesetzes folgende Angaben zu übermitteln:</w:t>
      </w:r>
    </w:p>
    <w:p>
      <w:pPr>
        <w:ind w:left="420"/>
      </w:pPr>
      <w:r>
        <w:t xml:space="preserve">1. die Anzahl der belegten und der belegbaren Intensivbetten, jeweils differenziert nach Erwachsenen und Kindern und nach Intensivbetten mit</w:t>
      </w:r>
    </w:p>
    <w:p>
      <w:pPr>
        <w:ind w:left="780"/>
      </w:pPr>
      <w:r>
        <w:t xml:space="preserve">a) nicht invasiver Beatmungsmöglichkeit (ICU low care),</w:t>
      </w:r>
    </w:p>
    <w:p>
      <w:pPr>
        <w:ind w:left="780"/>
      </w:pPr>
      <w:r>
        <w:t xml:space="preserve">b) invasiver Beatmungsmöglichkeit (ICU high care) und</w:t>
      </w:r>
    </w:p>
    <w:p>
      <w:pPr>
        <w:ind w:left="780"/>
      </w:pPr>
      <w:r>
        <w:t xml:space="preserve">c) zusätzlicher extrakorporaler Membranoxygenierung (ECMO),</w:t>
      </w:r>
    </w:p>
    <w:p>
      <w:pPr>
        <w:ind w:left="420"/>
      </w:pPr>
      <w:r>
        <w:t xml:space="preserve">2. ohne Angabe von personenbezogenen Daten die Anzahl der Patientinnen und Patienten mit einer SARS-CoV-2-Infektion, die</w:t>
      </w:r>
    </w:p>
    <w:p>
      <w:pPr>
        <w:ind w:left="780"/>
      </w:pPr>
      <w:r>
        <w:t xml:space="preserve">a) intensivmedizinisch behandelt werden, differenziert</w:t>
      </w:r>
    </w:p>
    <w:p>
      <w:pPr>
        <w:ind w:left="1140"/>
      </w:pPr>
      <w:r>
        <w:t xml:space="preserve">aa) nach Erwachsenen und Kindern,</w:t>
      </w:r>
    </w:p>
    <w:p>
      <w:pPr>
        <w:ind w:left="1140"/>
      </w:pPr>
      <w:r>
        <w:t xml:space="preserve">bb) nach Schwangeren,</w:t>
      </w:r>
    </w:p>
    <w:p>
      <w:pPr>
        <w:ind w:left="1140"/>
      </w:pPr>
      <w:r>
        <w:t xml:space="preserve">cc) wenn bekannt, nach SARS-CoV-2-Virusvarianten,</w:t>
      </w:r>
    </w:p>
    <w:p>
      <w:pPr>
        <w:ind w:left="1140"/>
      </w:pPr>
      <w:r>
        <w:t xml:space="preserve">dd) nach bislang erfolgten COVID-19-Schutzimpfungen,</w:t>
      </w:r>
    </w:p>
    <w:p>
      <w:pPr>
        <w:ind w:left="780"/>
      </w:pPr>
      <w:r>
        <w:t xml:space="preserve">b) invasiv beatmet werden oder</w:t>
      </w:r>
    </w:p>
    <w:p>
      <w:pPr>
        <w:ind w:left="780"/>
      </w:pPr>
      <w:r>
        <w:t xml:space="preserve">c) aus der intensivmedizinischen Behandlung des Krankenhauses entlassen wurden,</w:t>
      </w:r>
    </w:p>
    <w:p>
      <w:pPr>
        <w:ind w:left="420"/>
      </w:pPr>
      <w:r>
        <w:t xml:space="preserve">3. ohne Angabe von personenbezogenen Daten die Anzahl der Kinder mit einer Respiratorischen Synzytial-Virus-Infektion oder einer Influenzavirus-Infektion, die intensivmedizinisch behandelt werden, und</w:t>
      </w:r>
    </w:p>
    <w:p>
      <w:pPr>
        <w:ind w:left="420"/>
      </w:pPr>
      <w:r>
        <w:t xml:space="preserve">4. eine Einschätzung der maximalen intensivmedizinischen Behandlungskapazitäten für Neuaufnahmen innerhalb von sieben Tagen.</w:t>
      </w:r>
    </w:p>
    <w:p>
      <w:r>
        <w:t xml:space="preserve">(2) Die Übermittlung der Angaben nach Absatz 1 hat ab dem 26. November 2022 täglich bis 12 Uhr zu erfolgen. Die Angaben nach Absatz 1 können über die Weboberfläche des DIVI IntensivRegisters oder in maschinenlesbarer Form aus anderen IT-Systemen übermittelt werden.</w:t>
      </w:r>
    </w:p>
    <w:p>
      <w:r>
        <w:rPr>
          <w:color w:val="555555"/>
          <w:sz w:val="17"/>
        </w:rPr>
        <w:t xml:space="preserve">Zitiervorschlag: § 2 KHKapSurV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https://recht.nulegal.eu/gesetze/KHKapSurV/2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