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KHG — Fördertatbestände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12.12.2024 (konsolidierte Textfassung, kein amtliches Inkrafttretensdatum)</w:t>
      </w:r>
    </w:p>
    <w:p>
      <w:r>
        <w:t xml:space="preserve">(1) Die Länder fördern auf Antrag des Krankenhausträgers Investitionskosten, die entstehen insbesondere</w:t>
      </w:r>
    </w:p>
    <w:p>
      <w:pPr>
        <w:ind w:left="420"/>
      </w:pPr>
      <w:r>
        <w:t xml:space="preserve">1. für die Errichtung von Krankenhäusern einschließlich der Erstausstattung mit den für den Krankenhausbetrieb notwendigen Anlagegütern,</w:t>
      </w:r>
    </w:p>
    <w:p>
      <w:pPr>
        <w:ind w:left="420"/>
      </w:pPr>
      <w:r>
        <w:t xml:space="preserve">2. für die Wiederbeschaffung von Anlagegütern mit einer durchschnittlichen Nutzungsdauer von mehr als drei Jahren.</w:t>
      </w:r>
    </w:p>
    <w:p>
      <w:r>
        <w:t xml:space="preserve">(2) Die Länder bewilligen auf Antrag des Krankenhausträgers ferner Fördermittel</w:t>
      </w:r>
    </w:p>
    <w:p>
      <w:pPr>
        <w:ind w:left="420"/>
      </w:pPr>
      <w:r>
        <w:t xml:space="preserve">1. für die Nutzung von Anlagegütern, soweit sie mit Zustimmung der zuständigen Landesbehörde erfolgt,</w:t>
      </w:r>
    </w:p>
    <w:p>
      <w:pPr>
        <w:ind w:left="420"/>
      </w:pPr>
      <w:r>
        <w:t xml:space="preserve">2. für Anlaufkosten, für Umstellungskosten bei innerbetrieblichen Änderungen sowie für Erwerb, Erschließung, Miete und Pacht von Grundstücken, soweit ohne die Förderung die Aufnahme oder Fortführung des Krankenhausbetriebs gefährdet wäre,</w:t>
      </w:r>
    </w:p>
    <w:p>
      <w:pPr>
        <w:ind w:left="420"/>
      </w:pPr>
      <w:r>
        <w:t xml:space="preserve">3. für Lasten aus Darlehen, die vor der Aufnahme des Krankenhauses in den Krankenhausplan für förderungsfähige Investitionskosten aufgenommen worden sind,</w:t>
      </w:r>
    </w:p>
    <w:p>
      <w:pPr>
        <w:ind w:left="420"/>
      </w:pPr>
      <w:r>
        <w:t xml:space="preserve">4. als Ausgleich für die Abnutzung von Anlagegütern, soweit sie mit Eigenmitteln des Krankenhausträgers beschafft worden sind und bei Beginn der Förderung nach diesem Gesetz vorhanden waren,</w:t>
      </w:r>
    </w:p>
    <w:p>
      <w:pPr>
        <w:ind w:left="420"/>
      </w:pPr>
      <w:r>
        <w:t xml:space="preserve">5. zur Erleichterung der Schließung von Krankenhäusern,</w:t>
      </w:r>
    </w:p>
    <w:p>
      <w:pPr>
        <w:ind w:left="420"/>
      </w:pPr>
      <w:r>
        <w:t xml:space="preserve">6. zur Umstellung von Krankenhäusern oder Krankenhausabteilungen auf andere Aufgaben, insbesondere zu ihrer Umwidmung in Pflegeeinrichtungen oder selbständige, organisatorisch und wirtschaftlich vom Krankenhaus getrennte Pflegeabteilungen.</w:t>
      </w:r>
    </w:p>
    <w:p>
      <w:r>
        <w:t xml:space="preserve">(3) Die Länder fördern die Wiederbeschaffung kurzfristiger Anlagegüter sowie kleine bauliche Maßnahmen durch feste jährliche Pauschalbeträge, mit denen das Krankenhaus im Rahmen der Zweckbindung der Fördermittel frei wirtschaften kann; § 10 bleibt unberührt. Die Pauschalbeträge sollen nicht ausschließlich nach der Zahl der in den Krankenhausplan aufgenommenen Betten bemessen werden. Sie sind in regelmäßigen Abständen an die Kostenentwicklung anzupassen.</w:t>
      </w:r>
    </w:p>
    <w:p>
      <w:r>
        <w:t xml:space="preserve">(3a) Der vom Land bewilligte Gesamtbetrag der laufenden und der beiden folgenden Jahrespauschalen nach Absatz 3 steht dem Krankenhaus unabhängig von einer Verringerung der tatsächlichen Bettenzahl zu, soweit die Verringerung auf einer Vereinbarung des Krankenhausträgers mit den Landesverbänden der Krankenkassen und den Ersatzkassen nach § 109 Abs. 1 Satz 4 oder 5 des Fünften Buches Sozialgesetzbuch beruht und ein Fünftel der Planbetten nicht übersteigt. § 6 Abs. 3 bleibt unberührt.</w:t>
      </w:r>
    </w:p>
    <w:p>
      <w:r>
        <w:t xml:space="preserve">(4) Wiederbeschaffung im Sinne dieses Gesetzes ist auch die Ergänzung von Anlagegütern, soweit diese nicht über die übliche Anpassung der vorhandenen Anlagegüter an die medizinische und technische Entwicklung wesentlich hinausgeht.</w:t>
      </w:r>
    </w:p>
    <w:p>
      <w:r>
        <w:t xml:space="preserve">(5) Die Fördermittel sind nach Maßgabe dieses Gesetzes und des Landesrechts so zu bemessen, daß sie die förderungsfähigen und unter Beachtung betriebswirtschaftlicher Grundsätze und Nachhaltigkeit notwendigen Investitionskosten decken.</w:t>
      </w:r>
    </w:p>
    <w:p>
      <w:r>
        <w:rPr>
          <w:color w:val="555555"/>
          <w:sz w:val="17"/>
        </w:rPr>
        <w:t xml:space="preserve">Zitiervorschlag: § 9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