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KHG — Mitwirkung der Beteiligten</w:t>
      </w:r>
    </w:p>
    <w:p>
      <w:r>
        <w:rPr>
          <w:color w:val="555555"/>
          <w:sz w:val="18"/>
        </w:rPr>
        <w:t xml:space="preserve">Krankenhausfinanzierungsgesetz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Bei der Durchführung dieses Gesetzes arbeiten die Landesbehörden mit den an der Krankenhausversorgung im Lande Beteiligten eng zusammen; das betroffene Krankenhaus ist anzuhören. Bei der Krankenhausplanung und der Aufstellung der Investitionsprogramme sind einvernehmliche Regelungen mit den unmittelbar Beteiligten anzustreben.</w:t>
      </w:r>
    </w:p>
    <w:p>
      <w:r>
        <w:t xml:space="preserve">(2) Das Nähere wird durch Landesrecht bestimmt.</w:t>
      </w:r>
    </w:p>
    <w:p>
      <w:r>
        <w:rPr>
          <w:color w:val="555555"/>
          <w:sz w:val="17"/>
        </w:rPr>
        <w:t xml:space="preserve">Zitiervorschlag: § 7 KHG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https://recht.nulegal.eu/gesetze/KHG/7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