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KHG — Krankenhausplanung und Investitionsprogramme</w:t>
      </w:r>
    </w:p>
    <w:p>
      <w:r>
        <w:rPr>
          <w:color w:val="555555"/>
          <w:sz w:val="18"/>
        </w:rPr>
        <w:t xml:space="preserve">Krankenhausfinanzierungsgesetz</w:t>
      </w:r>
    </w:p>
    <w:p>
      <w:r>
        <w:rPr>
          <w:color w:val="555555"/>
          <w:sz w:val="18"/>
        </w:rPr>
        <w:t xml:space="preserve">Stand: 12.12.2024 (konsolidierte Textfassung, kein amtliches Inkrafttretensdatum)</w:t>
      </w:r>
    </w:p>
    <w:p>
      <w:r>
        <w:t xml:space="preserve">(1) Die Länder stellen zur Verwirklichung der in § 1 genannten Ziele Krankenhauspläne und Investitionsprogramme auf; Folgekosten, insbesondere die Auswirkungen auf die Pflegesätze, sind zu berücksichtigen.</w:t>
      </w:r>
    </w:p>
    <w:p>
      <w:r>
        <w:t xml:space="preserve">(1a) (weggefallen)</w:t>
      </w:r>
    </w:p>
    <w:p>
      <w:r>
        <w:t xml:space="preserve">(2) Hat ein Krankenhaus auch für die Versorgung der Bevölkerung anderer Länder wesentliche Bedeutung, so ist die Krankenhausplanung insoweit zwischen den beteiligten Ländern abzustimmen.</w:t>
      </w:r>
    </w:p>
    <w:p>
      <w:r>
        <w:t xml:space="preserve">(3) Die Länder stimmen ihre Krankenhausplanung auf die pflegerischen Leistungserfordernisse nach dem Elften Buch Sozialgesetzbuch ab, insbesondere mit dem Ziel, Krankenhäuser von Pflegefällen zu entlasten und dadurch entbehrlich werdende Teile eines Krankenhauses nahtlos in wirtschaftlich selbständige ambulante oder stationäre Pflegeeinrichtungen umzuwidmen.</w:t>
      </w:r>
    </w:p>
    <w:p>
      <w:r>
        <w:t xml:space="preserve">(4) Das Nähere wird durch Landesrecht bestimmt.</w:t>
      </w:r>
    </w:p>
    <w:p>
      <w:r>
        <w:rPr>
          <w:color w:val="555555"/>
          <w:sz w:val="17"/>
        </w:rPr>
        <w:t xml:space="preserve">Zitiervorschlag: § 6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