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KHG — Aufgaben des Bundesinstituts für Arzneimittel und Medizinprodukte und des Instituts für das Entgeltsystem im Krankenhaus hinsichtlich der Förderung der Spezialisierung bei der Erbringung von onkochirurgischen Leistungen</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Das Bundesinstitut für Arzneimittel und Medizinprodukte identifiziert in dem in § 301 Absatz 2 des Fünften Buches Sozialgesetzbuch genannten Operationen- und Prozedurenschlüssel jene chirurgischen Leistungen, die durch Krankenhäuser regelhaft aufgrund einer onkologischen Diagnose erbracht werden, und übermittelt dem Institut für das Entgeltsystem im Krankenhaus erstmals bis zum 30. Juni 2026 eine Aufstellung der Kodes aus dem in § 301 Absatz 2 des Fünften Buches Sozialgesetzbuch genannten Operationen- und Prozedurenschlüssel, die diesen Leistungen zugrunde liegen, und der Kodes aus der in § 301 Absatz 2 des Fünften Buches Sozialgesetzbuch genannten deutschen Fassung der Internationalen Klassifikation der Krankheiten, die den jeweils zugehörigen Diagnosen zugrunde liegen, auf Grundlage der jeweils für das Jahr 2025 herausgegebenen Fassung des in dem in § 301 Absatz 2 des Fünften Buches Sozialgesetzbuch genannten Operationen- und Prozedurenschlüssels und der in § 301 Absatz 2 des Fünften Buches Sozialgesetzbuch genannten deutschen Fassung der Internationalen Klassifikation der Krankheiten. Im Rahmen der Identifizierung der Leistungen und der Erstellung der in Satz 1 genannten Aufstellung hat das Bundesinstitut für Arzneimittel und Medizinprodukte der Deutschen Krebsgesellschaft Gelegenheit zur Stellungnahme zu geben; die Stellungnahme ist in die Entscheidung über die Identifizierung der Leistungen und in die Erstellung der in Satz 1 genannten Aufstellung einzubeziehen. Das Institut für das Entgeltsystem im Krankenhaus definiert Indikationsbereiche für die nach Satz 1 identifizierten Leistungen; im Rahmen der Definition der Indikationsbereiche hat das Institut für das Entgeltsystem im Krankenhaus der Deutschen Krebsgesellschaft Gelegenheit zur Stellungnahme zu geben und die Stellungnahme in die Entscheidung über die Definition der Indikationsbereiche einzubeziehen. Das Institut für das Entgeltsystem im Krankenhaus überführt die in Satz 1 genannte Aufstellung in eine nach den nach § 135e Absatz 2 Satz 2 des Fünften Buches Sozialgesetzbuch maßgeblichen Leistungsgruppen und den nach Satz 3 definierten Indikationsbereichen differenzierte Liste und veröffentlicht diese erstmals bis zum 31. August 2026 barrierefrei auf seiner Internetseite. Das Bundesinstitut für Arzneimittel und Medizinprodukte passt die in Satz 1 genannte Aufstellung auf Grundlage der für das jeweilige Folgejahr herausgegebenen in § 301 Absatz 2 des Fünften Buches Sozialgesetzbuch genannten deutschen Fassung der Internationalen Klassifikation der Krankheiten und der für das jeweilige Folgejahr herausgegebenen Fassung des in § 301 Absatz 2 des Fünften Buches Sozialgesetzbuch genannten Operationen- und Prozedurenschlüssels an und übermittelt die angepasste Aufstellung jeweils bis zum 15. November eines jeden Kalenderjahres, erstmals bis zum 15. November 2027, an das Institut für das Entgeltsystem im Krankenhaus, das die jeweils letzte Fassung der in Satz 4 genannten Liste entsprechend aktualisiert und die aktualisierte Liste bis zum 31. Dezember des jeweiligen Kalenderjahres barrierefrei auf seiner Internetseite veröffentlicht. Das Institut für das Entgeltsystem im Krankenhaus erarbeitet anhand der in Satz 4 genannten Liste Vorgaben für eine eindeutige Zuordnung von Fällen zu den nach Satz 3 definierten Indikationsbereichen durch die Krankenhäuser und zertifiziert erstmals bis zum 31. Dezember 2026 auf dieser Grundlage entwickelte Datenverarbeitungslösungen.</w:t>
      </w:r>
    </w:p>
    <w:p>
      <w:r>
        <w:t xml:space="preserve">(2) Das Institut für das Entgeltsystem im Krankenhaus identifiziert auf Grundlage der nach § 21 Absatz 1 und 2 Nummer 2 des Krankenhausentgeltgesetzes für das Kalenderjahr 2025 übermittelten Daten alle Krankenhausstandorte, die in diesem Kalenderjahr Leistungen erbracht haben, denen auf der in Absatz 1 Satz 4 genannten Liste aufgeführte Kodes zugrunde liegen, erstellt für jeden der nach Absatz 1 Satz 3 definierten Indikationsbereiche eine Aufstellung dieser Krankenhausstandorte und der Anzahl ihrer Fälle, bei denen diese Leistungen im jeweiligen Indikationsbereich erbracht worden sind, und sortiert diese Aufstellungen jeweils aufsteigend nach der Anzahl der Fälle. Das Institut für das Entgeltsystem im Krankenhaus wählt aus jeder der nach Satz 1 erstellten und sortierten Aufstellungen von Krankenhausstandorten die obersten Einträge bis einschließlich zu jenem Eintrag aus, bei dem die Summe der Anzahl der Fälle aller vorhergehenden Einträge erstmals einem der folgenden Anteile an der Anzahl der Fälle aller Einträge in der jeweiligen Aufstellung entspricht:</w:t>
      </w:r>
    </w:p>
    <w:p>
      <w:pPr>
        <w:ind w:left="420"/>
      </w:pPr>
      <w:r>
        <w:t xml:space="preserve">1. einem Anteil in Höhe von mindestens 15 Prozent oder</w:t>
      </w:r>
    </w:p>
    <w:p>
      <w:pPr>
        <w:ind w:left="420"/>
      </w:pPr>
      <w:r>
        <w:t xml:space="preserve">2. für den Fall, dass der Gemeinsame Bundesausschuss gemäß § 136c Absatz 1 Satz 1 des Fünften Buches Sozialgesetzbuch einen Anteil von weniger als 15 Prozent festgelegt hat, einem Anteil in Höhe von mindestens diesem festgelegten Anteil;</w:t>
      </w:r>
    </w:p>
    <w:p>
      <w:r>
        <w:t xml:space="preserve">sofern die Anzahl der Fälle mehrerer Krankenhausstandorte gleich hoch ist und die Auswahl jedes dieser Krankenhausstandorte dazu führen würde, dass der nach dem ersten Halbsatz geltende Anteil an der Anzahl der Fälle aller Einträge in der jeweiligen Aufstellung erreicht oder überschritten würde, sind alle diese Krankenhausstandorte auszuwählen. Das Institut für das Entgeltsystem im Krankenhaus veröffentlicht bis zum 31. Mai 2027 eine nach den nach Absatz 1 Satz 3 definierten Indikationsbereichen differenzierte Liste der nach Satz 2 ausgewählten Krankenhausstandorte barrierefrei auf seiner Internetseite und ordnet zum Zweck der Veröffentlichung im Transparenzverzeichnis nach § 135d des Fünften Buches Sozialgesetzbuch die Indikationsbereiche, nach der die Liste zu differenzieren ist, den jeweils nach § 135e Absatz 2 Satz 2 des Fünften Buches Sozialgesetzbuch maßgeblichen Leistungsgruppen zu; für den Fall, dass der Gemeinsame Bundesausschuss nach der Veröffentlichung der Liste gemäß § 136c Absatz 1 des Fünften Buches Sozialgesetzbuch einen Anteil von weniger als 15 Prozent festlegt, trifft das Institut für das Entgeltsystem im Krankenhaus erneut eine Auswahl nach Satz 2, aktualisiert die im ersten Halbsatz genannte Liste und veröffentlicht die aktualisierte Liste barrierefrei auf seiner Internetseite. Das Institut für das Entgeltsystem im Krankenhaus übermittelt der nach § 135d Absatz 2 Satz 1 des Fünften Buches Sozialgesetzbuch beauftragten Stelle und der nach § 135d Absatz 1 Satz 3 des Fünften Buches Sozialgesetzbuch benannten Stelle barrierefrei die nach Satz 3 veröffentlichte Liste.</w:t>
      </w:r>
    </w:p>
    <w:p>
      <w:r>
        <w:t xml:space="preserve">(3) Das Institut für das Entgeltsystem im Krankenhaus analysiert auf der Grundlage der nach § 21 Absatz 1 und Absatz 2 Nummer 2 des Krankenhausentgeltgesetzes übermittelten Daten die Auswirkungen der Veröffentlichung der in Absatz 2 Satz 3 genannten Liste und des Abrechnungsverbots nach § 8 Absatz 4 Satz 6 des Krankenhausentgeltgesetzes auf die Versorgung mit onkochirurgischen Leistungen in den Jahren 2028 bis 2032 und formuliert Empfehlungen zur Weiterentwicklung der Versorgung mit onkochirurgischen Leistungen. Das Institut für das Entgeltsystem im Krankenhaus veröffentlicht die Ergebnisse seiner Analyse und seine Empfehlungen bis zum 30. Juni 2033 barrierefrei auf seiner Internetseite. Die Kosten, die dem Institut für das Entgeltsystem im Krankenhaus durch die Erfüllung seiner Aufgaben nach den Absätzen 1 und 2 sowie nach den Sätzen 1 und 2 entstehen, werden mit dem DRG-Systemzuschlag nach § 17b Absatz 5 Satz 1 Nummer 1 finanziert.</w:t>
      </w:r>
    </w:p>
    <w:p>
      <w:r>
        <w:rPr>
          <w:color w:val="555555"/>
          <w:sz w:val="17"/>
        </w:rPr>
        <w:t xml:space="preserve">Zitiervorschlag: § 40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