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KHG</w:t>
      </w:r>
    </w:p>
    <w:p>
      <w:r>
        <w:rPr>
          <w:color w:val="555555"/>
          <w:sz w:val="18"/>
        </w:rPr>
        <w:t xml:space="preserve">Krankenhausfinanzierungsgesetz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Krankenhäuser werden dadurch wirtschaftlich gesichert, daß</w:t>
      </w:r>
    </w:p>
    <w:p>
      <w:pPr>
        <w:ind w:left="420"/>
      </w:pPr>
      <w:r>
        <w:t xml:space="preserve">1. ihre Investitionskosten im Wege öffentlicher Förderung übernommen werden und sie</w:t>
      </w:r>
    </w:p>
    <w:p>
      <w:pPr>
        <w:ind w:left="420"/>
      </w:pPr>
      <w:r>
        <w:t xml:space="preserve">2. leistungsgerechte Erlöse aus den Pflegesätzen, die nach Maßgabe dieses Gesetzes auch Investitionskosten enthalten können, sowie Vergütungen für vor- und nachstationäre Behandlung und für ambulantes Operieren erhalten.</w:t>
      </w:r>
    </w:p>
    <w:p>
      <w:r>
        <w:rPr>
          <w:color w:val="555555"/>
          <w:sz w:val="17"/>
        </w:rPr>
        <w:t xml:space="preserve">Zitiervorschlag: § 4 KHG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https://recht.nulegal.eu/gesetze/KHG/4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