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KHG — Rückgriff</w:t>
      </w:r>
    </w:p>
    <w:p>
      <w:r>
        <w:rPr>
          <w:color w:val="555555"/>
          <w:sz w:val="18"/>
        </w:rPr>
        <w:t xml:space="preserve">Krankenhausfinanzierungsgesetz</w:t>
      </w:r>
    </w:p>
    <w:p>
      <w:r>
        <w:rPr>
          <w:color w:val="555555"/>
          <w:sz w:val="18"/>
        </w:rPr>
        <w:t xml:space="preserve">Stand: 28.09.2021 (konsolidierte Textfassung, kein amtliches Inkrafttretensdatum)</w:t>
      </w:r>
    </w:p>
    <w:p>
      <w:r>
        <w:t xml:space="preserve">Wird der Bund wegen eines Schadens in Anspruch genommen, den der Beliehene bei der Erfüllung der ihm übertragenen Aufgaben oder von damit im Zusammenhang stehenden Aufgaben einem Dritten durch eine vorsätzliche oder fahrlässige Amtspflichtverletzung zugefügt hat, so kann der Bund gegenüber dem Beliehenen Rückgriff nehmen.</w:t>
      </w:r>
    </w:p>
    <w:p>
      <w:r>
        <w:rPr>
          <w:color w:val="555555"/>
          <w:sz w:val="17"/>
        </w:rPr>
        <w:t xml:space="preserve">Zitiervorschlag: § 34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