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KHG — Beleihung des Instituts für das Entgeltsystem im Krankenhaus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(1) Das Institut für das Entgeltsystem im Krankenhaus nimmt die Aufgaben als Beliehener wahr, die ihm</w:t>
      </w:r>
    </w:p>
    <w:p>
      <w:pPr>
        <w:ind w:left="420"/>
      </w:pPr>
      <w:r>
        <w:t xml:space="preserve">1. nach diesem Gesetz, dem Krankenhausentgeltgesetz, dem Fünften Buch Sozialgesetzbuch und den auf Grundlage dieser Gesetze jeweils erlassenen Rechtsverordnungen übertragen sind oder</w:t>
      </w:r>
    </w:p>
    <w:p>
      <w:pPr>
        <w:ind w:left="420"/>
      </w:pPr>
      <w:r>
        <w:t xml:space="preserve">2. die Vertragsparteien auf Bundesebene nach § 9 Absatz 1 des Krankenhausentgeltgesetzes übertragen, soweit dieses Gesetz, das Krankenhausentgeltgesetz, das Fünfte Buch Sozialgesetzbuch und die auf Grundlage dieser Gesetze jeweils erlassenen Rechtsverordnungen die Aufgabenübertragung vorsehen.</w:t>
      </w:r>
    </w:p>
    <w:p>
      <w:r>
        <w:t xml:space="preserve">(2) Die Wahrnehmung der Aufgaben nach Absatz 1 schließt die Befugnis zum Erlass von Verwaltungsakten und zu deren Vollstreckung, zur Rücknahme und zum Widerruf der erlassenen Verwaltungsakte sowie den Erlass der Widerspruchsbescheide ein.</w:t>
      </w:r>
    </w:p>
    <w:p>
      <w:r>
        <w:t xml:space="preserve">(3) Widerspruch und Anfechtungsklage gegen Entscheidungen des Beliehenen haben keine aufschiebende Wirkung.</w:t>
      </w:r>
    </w:p>
    <w:p>
      <w:r>
        <w:rPr>
          <w:color w:val="555555"/>
          <w:sz w:val="17"/>
        </w:rPr>
        <w:t xml:space="preserve">Zitiervorschlag: § 31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