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KHG — Darlehen aus Bundesmitteln</w:t>
      </w:r>
    </w:p>
    <w:p>
      <w:r>
        <w:rPr>
          <w:color w:val="555555"/>
          <w:sz w:val="18"/>
        </w:rPr>
        <w:t xml:space="preserve">Krankenhausfinanzierungsgesetz</w:t>
      </w:r>
    </w:p>
    <w:p>
      <w:r>
        <w:rPr>
          <w:color w:val="555555"/>
          <w:sz w:val="18"/>
        </w:rPr>
        <w:t xml:space="preserve">Stand: 10.06.2019 (konsolidierte Textfassung, kein amtliches Inkrafttretensdatum)</w:t>
      </w:r>
    </w:p>
    <w:p>
      <w:r>
        <w:t xml:space="preserve">Lasten aus Darlehen, die vor der Aufnahme des Krankenhauses in den Krankenhausplan für förderungsfähige Investitionskosten aus Bundesmitteln gewährt worden sind, werden auf Antrag des Krankenhausträgers erlassen, soweit der Krankenhausträger vor dem 1. Januar 1985 von diesen Lasten nicht anderweitig freigestellt worden ist und solange das Krankenhaus in den Krankenhausplan aufgenommen ist. Für die in § 2 Nr. 1a genannten Ausbildungsstätten gilt Satz 1 entsprechend.</w:t>
      </w:r>
    </w:p>
    <w:p>
      <w:r>
        <w:rPr>
          <w:color w:val="555555"/>
          <w:sz w:val="17"/>
        </w:rPr>
        <w:t xml:space="preserve">Zitiervorschlag: § 30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