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KHG — Anwendungsbereich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24.12.2022 (konsolidierte Textfassung, kein amtliches Inkrafttretensdatum)</w:t>
      </w:r>
    </w:p>
    <w:p>
      <w:r>
        <w:t xml:space="preserve">Dieses Gesetz findet keine Anwendung auf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Krankenhäuser im Straf- oder Maßregelvollzug,</w:t>
      </w:r>
    </w:p>
    <w:p>
      <w:pPr>
        <w:ind w:left="420"/>
      </w:pPr>
      <w:r>
        <w:t xml:space="preserve">3. Polizeikrankenhäuser,</w:t>
      </w:r>
    </w:p>
    <w:p>
      <w:pPr>
        <w:ind w:left="420"/>
      </w:pPr>
      <w:r>
        <w:t xml:space="preserve">4. Krankenhäuser der Träger der allgemeine Rentenversicherung und, soweit die gesetzliche Unfallversicherung die Kosten trägt, Krankenhäuser der Träger der gesetzlichen Unfallversicherung und ihrer Vereinigungen; das gilt nicht für Fachkliniken zur Behandlung von Erkrankungen der Atmungsorgane, soweit sie der allgemeinen Versorgung der Bevölkerung mit Krankenhäusern dienen.</w:t>
      </w:r>
    </w:p>
    <w:p>
      <w:r>
        <w:t xml:space="preserve">§ 28 bleibt unberührt. § 26f findet hinsichtlich der Krankenhäuser der Träger der gesetzlichen Unfallversicherung und ihrer Vereinigungen auch Anwendung, soweit die gesetzliche Unfallversicherung die Kosten trägt.</w:t>
      </w:r>
    </w:p>
    <w:p>
      <w:r>
        <w:rPr>
          <w:color w:val="555555"/>
          <w:sz w:val="17"/>
        </w:rPr>
        <w:t xml:space="preserve">Zitiervorschlag: § 3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